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0DE9" w14:textId="77777777" w:rsidR="00D21A25" w:rsidRPr="00D21A25" w:rsidRDefault="00D21A25" w:rsidP="00D21A25">
      <w:pPr>
        <w:rPr>
          <w:b/>
          <w:bCs/>
        </w:rPr>
      </w:pPr>
      <w:r w:rsidRPr="00D21A25">
        <w:rPr>
          <w:b/>
          <w:bCs/>
        </w:rPr>
        <w:t>Statement by the Monetary Policy Board: Monetary Policy Decision</w:t>
      </w:r>
    </w:p>
    <w:p w14:paraId="43AEA772" w14:textId="00AC8057" w:rsidR="00D21A25" w:rsidRPr="00D21A25" w:rsidRDefault="00D21A25" w:rsidP="00D21A25">
      <w:r w:rsidRPr="00D21A25">
        <w:t>Date</w:t>
      </w:r>
      <w:r>
        <w:t>:</w:t>
      </w:r>
      <w:r w:rsidRPr="00D21A25">
        <w:rPr>
          <w:b/>
          <w:bCs/>
        </w:rPr>
        <w:t>5 May 2026</w:t>
      </w:r>
    </w:p>
    <w:tbl>
      <w:tblPr>
        <w:tblStyle w:val="TableGrid"/>
        <w:tblW w:w="9606" w:type="dxa"/>
        <w:tblLook w:val="04A0" w:firstRow="1" w:lastRow="0" w:firstColumn="1" w:lastColumn="0" w:noHBand="0" w:noVBand="1"/>
      </w:tblPr>
      <w:tblGrid>
        <w:gridCol w:w="5030"/>
        <w:gridCol w:w="4576"/>
      </w:tblGrid>
      <w:tr w:rsidR="00D21A25" w:rsidRPr="00D21A25" w14:paraId="09F51C9E" w14:textId="77777777" w:rsidTr="00D21A25">
        <w:tc>
          <w:tcPr>
            <w:tcW w:w="5030" w:type="dxa"/>
            <w:shd w:val="clear" w:color="auto" w:fill="000000" w:themeFill="text1"/>
          </w:tcPr>
          <w:p w14:paraId="4C5E9C2C" w14:textId="6F92DAB6" w:rsidR="00D21A25" w:rsidRPr="00D21A25" w:rsidRDefault="00D21A25" w:rsidP="00BE2410">
            <w:pPr>
              <w:rPr>
                <w:b/>
                <w:bCs/>
              </w:rPr>
            </w:pPr>
            <w:r w:rsidRPr="00D21A25">
              <w:rPr>
                <w:b/>
                <w:bCs/>
              </w:rPr>
              <w:t>Monetary policy statement</w:t>
            </w:r>
          </w:p>
        </w:tc>
        <w:tc>
          <w:tcPr>
            <w:tcW w:w="4576" w:type="dxa"/>
            <w:shd w:val="clear" w:color="auto" w:fill="000000" w:themeFill="text1"/>
          </w:tcPr>
          <w:p w14:paraId="649A2E75" w14:textId="3BB81738" w:rsidR="00D21A25" w:rsidRPr="00D21A25" w:rsidRDefault="00D21A25" w:rsidP="00BE2410">
            <w:pPr>
              <w:rPr>
                <w:b/>
                <w:bCs/>
              </w:rPr>
            </w:pPr>
            <w:r w:rsidRPr="00D21A25">
              <w:rPr>
                <w:b/>
                <w:bCs/>
              </w:rPr>
              <w:t>Interpretation</w:t>
            </w:r>
          </w:p>
        </w:tc>
      </w:tr>
      <w:tr w:rsidR="00D21A25" w:rsidRPr="00D21A25" w14:paraId="0B76E190" w14:textId="69780677" w:rsidTr="00D21A25">
        <w:tc>
          <w:tcPr>
            <w:tcW w:w="5030" w:type="dxa"/>
          </w:tcPr>
          <w:p w14:paraId="3348D096" w14:textId="77777777" w:rsidR="00D21A25" w:rsidRPr="00D21A25" w:rsidRDefault="00D21A25" w:rsidP="00BE2410">
            <w:r w:rsidRPr="00D21A25">
              <w:t xml:space="preserve">At </w:t>
            </w:r>
            <w:proofErr w:type="gramStart"/>
            <w:r w:rsidRPr="00D21A25">
              <w:t>its</w:t>
            </w:r>
            <w:proofErr w:type="gramEnd"/>
            <w:r w:rsidRPr="00D21A25">
              <w:t xml:space="preserve"> meeting today, the Board decided to increase the cash rate target by 25 basis points to 4.35 per cent.</w:t>
            </w:r>
          </w:p>
        </w:tc>
        <w:tc>
          <w:tcPr>
            <w:tcW w:w="4576" w:type="dxa"/>
          </w:tcPr>
          <w:p w14:paraId="638CC4FE" w14:textId="77777777" w:rsidR="00D21A25" w:rsidRPr="00D21A25" w:rsidRDefault="00D21A25" w:rsidP="00BE2410">
            <w:pPr>
              <w:rPr>
                <w:sz w:val="20"/>
                <w:szCs w:val="20"/>
              </w:rPr>
            </w:pPr>
            <w:r w:rsidRPr="00D21A25">
              <w:rPr>
                <w:i/>
                <w:iCs/>
                <w:sz w:val="20"/>
                <w:szCs w:val="20"/>
              </w:rPr>
              <w:t>Is this aiming to stimulate or contract the economy</w:t>
            </w:r>
            <w:r w:rsidRPr="00D21A25">
              <w:rPr>
                <w:sz w:val="20"/>
                <w:szCs w:val="20"/>
              </w:rPr>
              <w:t xml:space="preserve">? </w:t>
            </w:r>
          </w:p>
          <w:p w14:paraId="3C9CE96F" w14:textId="2A508F86" w:rsidR="00D21A25" w:rsidRPr="00D21A25" w:rsidRDefault="00D21A25" w:rsidP="00BE2410">
            <w:pPr>
              <w:rPr>
                <w:sz w:val="20"/>
                <w:szCs w:val="20"/>
              </w:rPr>
            </w:pPr>
            <w:r w:rsidRPr="00D21A25">
              <w:rPr>
                <w:i/>
                <w:iCs/>
                <w:sz w:val="20"/>
                <w:szCs w:val="20"/>
              </w:rPr>
              <w:t>What does this indicate about the economic cycle</w:t>
            </w:r>
            <w:r w:rsidRPr="00D21A25">
              <w:rPr>
                <w:sz w:val="20"/>
                <w:szCs w:val="20"/>
              </w:rPr>
              <w:t>?</w:t>
            </w:r>
          </w:p>
        </w:tc>
      </w:tr>
      <w:tr w:rsidR="00D21A25" w:rsidRPr="00D21A25" w14:paraId="30FE46A9" w14:textId="6AB417DF" w:rsidTr="00D21A25">
        <w:tc>
          <w:tcPr>
            <w:tcW w:w="5030" w:type="dxa"/>
          </w:tcPr>
          <w:p w14:paraId="6AB80755" w14:textId="77777777" w:rsidR="00D21A25" w:rsidRPr="00D21A25" w:rsidRDefault="00D21A25" w:rsidP="00BE2410">
            <w:r w:rsidRPr="00D21A25">
              <w:t>Inflation picked up materially in the second half of 2025, and information since the beginning of this year confirms that some of this increase reflected greater capacity pressures. In addition, the conflict in the Middle East has resulted in sharply higher fuel and related commodity prices, which are already adding to inflation. There are early signs that many firms experiencing cost pressures are looking to increase prices of their goods and services. Short-term measures of inflation expectations have also risen.</w:t>
            </w:r>
          </w:p>
        </w:tc>
        <w:tc>
          <w:tcPr>
            <w:tcW w:w="4576" w:type="dxa"/>
          </w:tcPr>
          <w:p w14:paraId="6DB11B5C" w14:textId="72E799BB" w:rsidR="00D21A25" w:rsidRPr="00D21A25" w:rsidRDefault="00D21A25" w:rsidP="00BE2410">
            <w:pPr>
              <w:rPr>
                <w:sz w:val="20"/>
                <w:szCs w:val="20"/>
              </w:rPr>
            </w:pPr>
            <w:r w:rsidRPr="00D21A25">
              <w:rPr>
                <w:i/>
                <w:iCs/>
                <w:sz w:val="20"/>
                <w:szCs w:val="20"/>
              </w:rPr>
              <w:t>What is the main point</w:t>
            </w:r>
            <w:r>
              <w:rPr>
                <w:sz w:val="20"/>
                <w:szCs w:val="20"/>
              </w:rPr>
              <w:t>?</w:t>
            </w:r>
          </w:p>
          <w:p w14:paraId="705D4A5B" w14:textId="77777777" w:rsidR="00D21A25" w:rsidRPr="00D21A25" w:rsidRDefault="00D21A25" w:rsidP="00BE2410">
            <w:pPr>
              <w:rPr>
                <w:sz w:val="20"/>
                <w:szCs w:val="20"/>
              </w:rPr>
            </w:pPr>
          </w:p>
          <w:p w14:paraId="328FFE70" w14:textId="112CD3FA" w:rsidR="00D21A25" w:rsidRPr="00D21A25" w:rsidRDefault="00D21A25" w:rsidP="00BE2410">
            <w:pPr>
              <w:rPr>
                <w:sz w:val="20"/>
                <w:szCs w:val="20"/>
              </w:rPr>
            </w:pPr>
            <w:r w:rsidRPr="00D21A25">
              <w:rPr>
                <w:i/>
                <w:iCs/>
                <w:sz w:val="20"/>
                <w:szCs w:val="20"/>
              </w:rPr>
              <w:t>What are the factors involved</w:t>
            </w:r>
            <w:r>
              <w:rPr>
                <w:sz w:val="20"/>
                <w:szCs w:val="20"/>
              </w:rPr>
              <w:t>?</w:t>
            </w:r>
          </w:p>
          <w:p w14:paraId="6ABA9EAF" w14:textId="77777777" w:rsidR="00D21A25" w:rsidRDefault="00D21A25" w:rsidP="00BE2410">
            <w:pPr>
              <w:rPr>
                <w:sz w:val="20"/>
                <w:szCs w:val="20"/>
              </w:rPr>
            </w:pPr>
          </w:p>
          <w:p w14:paraId="1A04A9F8" w14:textId="37141D7F" w:rsidR="00D21A25" w:rsidRPr="00D21A25" w:rsidRDefault="00D21A25" w:rsidP="00BE2410">
            <w:pPr>
              <w:rPr>
                <w:sz w:val="20"/>
                <w:szCs w:val="20"/>
              </w:rPr>
            </w:pPr>
          </w:p>
        </w:tc>
      </w:tr>
      <w:tr w:rsidR="00D21A25" w:rsidRPr="00D21A25" w14:paraId="0A23CA71" w14:textId="3FF94E69" w:rsidTr="00D21A25">
        <w:tc>
          <w:tcPr>
            <w:tcW w:w="5030" w:type="dxa"/>
          </w:tcPr>
          <w:p w14:paraId="25E981C3" w14:textId="77777777" w:rsidR="00D21A25" w:rsidRPr="00D21A25" w:rsidRDefault="00D21A25" w:rsidP="00BE2410">
            <w:r w:rsidRPr="00D21A25">
              <w:t>The Bank has updated its forecasts to incorporate recent data and developments in the Middle East. The baseline forecast, which assumes that the conflict is resolved soon and fuel prices decline, sees underlying inflation peaking higher than was expected in February. It then declines as demand growth slows and capacity pressures ease in response to higher interest rates.</w:t>
            </w:r>
          </w:p>
        </w:tc>
        <w:tc>
          <w:tcPr>
            <w:tcW w:w="4576" w:type="dxa"/>
          </w:tcPr>
          <w:p w14:paraId="75EF11D3" w14:textId="77777777" w:rsidR="00D21A25" w:rsidRPr="00D21A25" w:rsidRDefault="00D21A25" w:rsidP="00D21A25">
            <w:pPr>
              <w:rPr>
                <w:sz w:val="20"/>
                <w:szCs w:val="20"/>
              </w:rPr>
            </w:pPr>
            <w:r w:rsidRPr="00D21A25">
              <w:rPr>
                <w:i/>
                <w:iCs/>
                <w:sz w:val="20"/>
                <w:szCs w:val="20"/>
              </w:rPr>
              <w:t>What is the main point</w:t>
            </w:r>
            <w:r>
              <w:rPr>
                <w:sz w:val="20"/>
                <w:szCs w:val="20"/>
              </w:rPr>
              <w:t>?</w:t>
            </w:r>
          </w:p>
          <w:p w14:paraId="6F8BCB7A" w14:textId="77777777" w:rsidR="00D21A25" w:rsidRPr="00D21A25" w:rsidRDefault="00D21A25" w:rsidP="00D21A25">
            <w:pPr>
              <w:rPr>
                <w:sz w:val="20"/>
                <w:szCs w:val="20"/>
              </w:rPr>
            </w:pPr>
          </w:p>
          <w:p w14:paraId="610A0306" w14:textId="77777777" w:rsidR="00D21A25" w:rsidRPr="00D21A25" w:rsidRDefault="00D21A25" w:rsidP="00D21A25">
            <w:pPr>
              <w:rPr>
                <w:sz w:val="20"/>
                <w:szCs w:val="20"/>
              </w:rPr>
            </w:pPr>
            <w:r w:rsidRPr="00D21A25">
              <w:rPr>
                <w:i/>
                <w:iCs/>
                <w:sz w:val="20"/>
                <w:szCs w:val="20"/>
              </w:rPr>
              <w:t>What are the factors involved</w:t>
            </w:r>
            <w:r>
              <w:rPr>
                <w:sz w:val="20"/>
                <w:szCs w:val="20"/>
              </w:rPr>
              <w:t>?</w:t>
            </w:r>
          </w:p>
          <w:p w14:paraId="5A41D847" w14:textId="77777777" w:rsidR="00D21A25" w:rsidRPr="00D21A25" w:rsidRDefault="00D21A25" w:rsidP="00BE2410">
            <w:pPr>
              <w:rPr>
                <w:sz w:val="20"/>
                <w:szCs w:val="20"/>
              </w:rPr>
            </w:pPr>
          </w:p>
        </w:tc>
      </w:tr>
      <w:tr w:rsidR="00D21A25" w:rsidRPr="00D21A25" w14:paraId="761D9ED4" w14:textId="2B12F63C" w:rsidTr="00D21A25">
        <w:tc>
          <w:tcPr>
            <w:tcW w:w="5030" w:type="dxa"/>
          </w:tcPr>
          <w:p w14:paraId="1A1A1829" w14:textId="77777777" w:rsidR="00D21A25" w:rsidRPr="00D21A25" w:rsidRDefault="00D21A25" w:rsidP="00BE2410">
            <w:r w:rsidRPr="00D21A25">
              <w:t>Financial conditions have tightened this year. Money market interest rates and government bond yields have risen, and the exchange rate has appreciated. But credit is readily available to both households and businesses.</w:t>
            </w:r>
          </w:p>
        </w:tc>
        <w:tc>
          <w:tcPr>
            <w:tcW w:w="4576" w:type="dxa"/>
          </w:tcPr>
          <w:p w14:paraId="047D5E2C" w14:textId="77777777" w:rsidR="00D21A25" w:rsidRPr="00D21A25" w:rsidRDefault="00D21A25" w:rsidP="00D21A25">
            <w:pPr>
              <w:rPr>
                <w:sz w:val="20"/>
                <w:szCs w:val="20"/>
              </w:rPr>
            </w:pPr>
            <w:r w:rsidRPr="00D21A25">
              <w:rPr>
                <w:i/>
                <w:iCs/>
                <w:sz w:val="20"/>
                <w:szCs w:val="20"/>
              </w:rPr>
              <w:t>What is the main point</w:t>
            </w:r>
            <w:r>
              <w:rPr>
                <w:sz w:val="20"/>
                <w:szCs w:val="20"/>
              </w:rPr>
              <w:t>?</w:t>
            </w:r>
          </w:p>
          <w:p w14:paraId="589260D3" w14:textId="77777777" w:rsidR="00D21A25" w:rsidRPr="00D21A25" w:rsidRDefault="00D21A25" w:rsidP="00D21A25">
            <w:pPr>
              <w:rPr>
                <w:sz w:val="20"/>
                <w:szCs w:val="20"/>
              </w:rPr>
            </w:pPr>
          </w:p>
          <w:p w14:paraId="02996A41" w14:textId="77777777" w:rsidR="00D21A25" w:rsidRPr="00D21A25" w:rsidRDefault="00D21A25" w:rsidP="00D21A25">
            <w:pPr>
              <w:rPr>
                <w:sz w:val="20"/>
                <w:szCs w:val="20"/>
              </w:rPr>
            </w:pPr>
            <w:r w:rsidRPr="00D21A25">
              <w:rPr>
                <w:i/>
                <w:iCs/>
                <w:sz w:val="20"/>
                <w:szCs w:val="20"/>
              </w:rPr>
              <w:t>What are the factors involved</w:t>
            </w:r>
            <w:r>
              <w:rPr>
                <w:sz w:val="20"/>
                <w:szCs w:val="20"/>
              </w:rPr>
              <w:t>?</w:t>
            </w:r>
          </w:p>
          <w:p w14:paraId="117D187E" w14:textId="77777777" w:rsidR="00D21A25" w:rsidRPr="00D21A25" w:rsidRDefault="00D21A25" w:rsidP="00BE2410">
            <w:pPr>
              <w:rPr>
                <w:sz w:val="20"/>
                <w:szCs w:val="20"/>
              </w:rPr>
            </w:pPr>
          </w:p>
        </w:tc>
      </w:tr>
      <w:tr w:rsidR="00D21A25" w:rsidRPr="00D21A25" w14:paraId="1B97DF70" w14:textId="07215233" w:rsidTr="00D21A25">
        <w:tc>
          <w:tcPr>
            <w:tcW w:w="5030" w:type="dxa"/>
          </w:tcPr>
          <w:p w14:paraId="69632539" w14:textId="77777777" w:rsidR="00D21A25" w:rsidRPr="00D21A25" w:rsidRDefault="00D21A25" w:rsidP="00BE2410">
            <w:r w:rsidRPr="00D21A25">
              <w:t>There are materially heightened uncertainties about the outlook for domestic economic activity and inflation. With the conflict in the Middle East continuing, there are plausible scenarios where inflation is higher and activity lower than envisaged under the baseline forecast. A longer or more severe conflict could put further upward pressure on global energy prices; this would push up near-term inflation and could also increase inflation further out as these costs are passed through and if price rises get built into longer term inflation expectations. But higher prices and prolonged uncertainty may cause growth to be lower in Australia’s major trading partners and also in Australia.</w:t>
            </w:r>
          </w:p>
        </w:tc>
        <w:tc>
          <w:tcPr>
            <w:tcW w:w="4576" w:type="dxa"/>
          </w:tcPr>
          <w:p w14:paraId="4038AECD" w14:textId="77777777" w:rsidR="00D21A25" w:rsidRPr="00D21A25" w:rsidRDefault="00D21A25" w:rsidP="00D21A25">
            <w:pPr>
              <w:rPr>
                <w:sz w:val="20"/>
                <w:szCs w:val="20"/>
              </w:rPr>
            </w:pPr>
            <w:r w:rsidRPr="00D21A25">
              <w:rPr>
                <w:i/>
                <w:iCs/>
                <w:sz w:val="20"/>
                <w:szCs w:val="20"/>
              </w:rPr>
              <w:t>What is the main point</w:t>
            </w:r>
            <w:r>
              <w:rPr>
                <w:sz w:val="20"/>
                <w:szCs w:val="20"/>
              </w:rPr>
              <w:t>?</w:t>
            </w:r>
          </w:p>
          <w:p w14:paraId="5996B607" w14:textId="77777777" w:rsidR="00D21A25" w:rsidRPr="00D21A25" w:rsidRDefault="00D21A25" w:rsidP="00D21A25">
            <w:pPr>
              <w:rPr>
                <w:sz w:val="20"/>
                <w:szCs w:val="20"/>
              </w:rPr>
            </w:pPr>
          </w:p>
          <w:p w14:paraId="05D2164B" w14:textId="77777777" w:rsidR="00D21A25" w:rsidRPr="00D21A25" w:rsidRDefault="00D21A25" w:rsidP="00D21A25">
            <w:pPr>
              <w:rPr>
                <w:sz w:val="20"/>
                <w:szCs w:val="20"/>
              </w:rPr>
            </w:pPr>
            <w:r w:rsidRPr="00D21A25">
              <w:rPr>
                <w:i/>
                <w:iCs/>
                <w:sz w:val="20"/>
                <w:szCs w:val="20"/>
              </w:rPr>
              <w:t>What are the factors involved</w:t>
            </w:r>
            <w:r>
              <w:rPr>
                <w:sz w:val="20"/>
                <w:szCs w:val="20"/>
              </w:rPr>
              <w:t>?</w:t>
            </w:r>
          </w:p>
          <w:p w14:paraId="245B1963" w14:textId="77777777" w:rsidR="00D21A25" w:rsidRPr="00D21A25" w:rsidRDefault="00D21A25" w:rsidP="00BE2410">
            <w:pPr>
              <w:rPr>
                <w:sz w:val="20"/>
                <w:szCs w:val="20"/>
              </w:rPr>
            </w:pPr>
          </w:p>
        </w:tc>
      </w:tr>
    </w:tbl>
    <w:p w14:paraId="79FD9F9C" w14:textId="77777777" w:rsidR="00D21A25" w:rsidRDefault="00D21A25">
      <w:r>
        <w:br w:type="page"/>
      </w:r>
    </w:p>
    <w:tbl>
      <w:tblPr>
        <w:tblStyle w:val="TableGrid"/>
        <w:tblW w:w="9606" w:type="dxa"/>
        <w:tblLook w:val="04A0" w:firstRow="1" w:lastRow="0" w:firstColumn="1" w:lastColumn="0" w:noHBand="0" w:noVBand="1"/>
      </w:tblPr>
      <w:tblGrid>
        <w:gridCol w:w="5030"/>
        <w:gridCol w:w="4576"/>
      </w:tblGrid>
      <w:tr w:rsidR="00D21A25" w:rsidRPr="00D21A25" w14:paraId="04762D5E" w14:textId="55E9C0E8" w:rsidTr="00D21A25">
        <w:tc>
          <w:tcPr>
            <w:tcW w:w="5030" w:type="dxa"/>
            <w:shd w:val="clear" w:color="auto" w:fill="000000" w:themeFill="text1"/>
          </w:tcPr>
          <w:p w14:paraId="2C639C76" w14:textId="2155F751" w:rsidR="00D21A25" w:rsidRPr="00D21A25" w:rsidRDefault="00D21A25" w:rsidP="00BE2410">
            <w:pPr>
              <w:rPr>
                <w:b/>
                <w:bCs/>
              </w:rPr>
            </w:pPr>
            <w:r w:rsidRPr="00D21A25">
              <w:rPr>
                <w:b/>
                <w:bCs/>
              </w:rPr>
              <w:lastRenderedPageBreak/>
              <w:t>Decision</w:t>
            </w:r>
          </w:p>
        </w:tc>
        <w:tc>
          <w:tcPr>
            <w:tcW w:w="4576" w:type="dxa"/>
            <w:shd w:val="clear" w:color="auto" w:fill="000000" w:themeFill="text1"/>
          </w:tcPr>
          <w:p w14:paraId="039A6B3D" w14:textId="77777777" w:rsidR="00D21A25" w:rsidRPr="00D21A25" w:rsidRDefault="00D21A25" w:rsidP="00BE2410">
            <w:pPr>
              <w:rPr>
                <w:b/>
                <w:bCs/>
                <w:sz w:val="20"/>
                <w:szCs w:val="20"/>
              </w:rPr>
            </w:pPr>
          </w:p>
        </w:tc>
      </w:tr>
      <w:tr w:rsidR="00D21A25" w:rsidRPr="00D21A25" w14:paraId="40A406B4" w14:textId="5610A64D" w:rsidTr="00D21A25">
        <w:tc>
          <w:tcPr>
            <w:tcW w:w="5030" w:type="dxa"/>
          </w:tcPr>
          <w:p w14:paraId="44B7221A" w14:textId="77777777" w:rsidR="00D21A25" w:rsidRPr="00D21A25" w:rsidRDefault="00D21A25" w:rsidP="00BE2410">
            <w:r w:rsidRPr="00D21A25">
              <w:t>As expected, developments in the Middle East are having an impact on inflation. Higher fuel prices are adding to inflation and there are indications that this is likely to have second-round effects on prices for goods and services more broadly. This inflation impulse is in addition to the high inflation recorded around the start of 2026, reflecting capacity pressures in the economy.</w:t>
            </w:r>
          </w:p>
        </w:tc>
        <w:tc>
          <w:tcPr>
            <w:tcW w:w="4576" w:type="dxa"/>
          </w:tcPr>
          <w:p w14:paraId="2462C46F" w14:textId="77777777" w:rsidR="00D21A25" w:rsidRPr="00D21A25" w:rsidRDefault="00D21A25" w:rsidP="00D21A25">
            <w:pPr>
              <w:rPr>
                <w:sz w:val="20"/>
                <w:szCs w:val="20"/>
              </w:rPr>
            </w:pPr>
            <w:r w:rsidRPr="00D21A25">
              <w:rPr>
                <w:i/>
                <w:iCs/>
                <w:sz w:val="20"/>
                <w:szCs w:val="20"/>
              </w:rPr>
              <w:t>What is the main point</w:t>
            </w:r>
            <w:r>
              <w:rPr>
                <w:sz w:val="20"/>
                <w:szCs w:val="20"/>
              </w:rPr>
              <w:t>?</w:t>
            </w:r>
          </w:p>
          <w:p w14:paraId="7C168BF8" w14:textId="77777777" w:rsidR="00D21A25" w:rsidRPr="00D21A25" w:rsidRDefault="00D21A25" w:rsidP="00D21A25">
            <w:pPr>
              <w:rPr>
                <w:sz w:val="20"/>
                <w:szCs w:val="20"/>
              </w:rPr>
            </w:pPr>
          </w:p>
          <w:p w14:paraId="3924CA2D" w14:textId="77777777" w:rsidR="00D21A25" w:rsidRPr="00D21A25" w:rsidRDefault="00D21A25" w:rsidP="00D21A25">
            <w:pPr>
              <w:rPr>
                <w:sz w:val="20"/>
                <w:szCs w:val="20"/>
              </w:rPr>
            </w:pPr>
            <w:r w:rsidRPr="00D21A25">
              <w:rPr>
                <w:i/>
                <w:iCs/>
                <w:sz w:val="20"/>
                <w:szCs w:val="20"/>
              </w:rPr>
              <w:t xml:space="preserve">What </w:t>
            </w:r>
            <w:r>
              <w:rPr>
                <w:i/>
                <w:iCs/>
                <w:sz w:val="20"/>
                <w:szCs w:val="20"/>
              </w:rPr>
              <w:t>is the economic ideas, perspectives, reasoning or caveat</w:t>
            </w:r>
            <w:r>
              <w:rPr>
                <w:sz w:val="20"/>
                <w:szCs w:val="20"/>
              </w:rPr>
              <w:t>?</w:t>
            </w:r>
          </w:p>
          <w:p w14:paraId="57C8B914" w14:textId="77777777" w:rsidR="00D21A25" w:rsidRPr="00D21A25" w:rsidRDefault="00D21A25" w:rsidP="00BE2410">
            <w:pPr>
              <w:rPr>
                <w:sz w:val="20"/>
                <w:szCs w:val="20"/>
              </w:rPr>
            </w:pPr>
          </w:p>
        </w:tc>
      </w:tr>
      <w:tr w:rsidR="00D21A25" w:rsidRPr="00D21A25" w14:paraId="3397B74F" w14:textId="4A711DB0" w:rsidTr="00D21A25">
        <w:tc>
          <w:tcPr>
            <w:tcW w:w="5030" w:type="dxa"/>
          </w:tcPr>
          <w:p w14:paraId="6FA1F743" w14:textId="77777777" w:rsidR="00D21A25" w:rsidRPr="00D21A25" w:rsidRDefault="00D21A25" w:rsidP="00BE2410">
            <w:r w:rsidRPr="00D21A25">
              <w:t>In light of these considerations, the Board assessed that inflation is likely to remain above target for some time and that the risks remain tilted to the upside, including to inflation expectations. It was therefore judged appropriate to increase the cash rate target.</w:t>
            </w:r>
          </w:p>
        </w:tc>
        <w:tc>
          <w:tcPr>
            <w:tcW w:w="4576" w:type="dxa"/>
          </w:tcPr>
          <w:p w14:paraId="41ACBBB4" w14:textId="77777777" w:rsidR="00D21A25" w:rsidRPr="00D21A25" w:rsidRDefault="00D21A25" w:rsidP="00D21A25">
            <w:pPr>
              <w:rPr>
                <w:sz w:val="20"/>
                <w:szCs w:val="20"/>
              </w:rPr>
            </w:pPr>
            <w:r w:rsidRPr="00D21A25">
              <w:rPr>
                <w:i/>
                <w:iCs/>
                <w:sz w:val="20"/>
                <w:szCs w:val="20"/>
              </w:rPr>
              <w:t>What is the main point</w:t>
            </w:r>
            <w:r>
              <w:rPr>
                <w:sz w:val="20"/>
                <w:szCs w:val="20"/>
              </w:rPr>
              <w:t>?</w:t>
            </w:r>
          </w:p>
          <w:p w14:paraId="1AA9CFF2" w14:textId="77777777" w:rsidR="00D21A25" w:rsidRPr="00D21A25" w:rsidRDefault="00D21A25" w:rsidP="00D21A25">
            <w:pPr>
              <w:rPr>
                <w:sz w:val="20"/>
                <w:szCs w:val="20"/>
              </w:rPr>
            </w:pPr>
          </w:p>
          <w:p w14:paraId="7F9B2B6F" w14:textId="0624D7C7" w:rsidR="00D21A25" w:rsidRPr="00D21A25" w:rsidRDefault="00D21A25" w:rsidP="00D21A25">
            <w:pPr>
              <w:rPr>
                <w:sz w:val="20"/>
                <w:szCs w:val="20"/>
              </w:rPr>
            </w:pPr>
            <w:r w:rsidRPr="00D21A25">
              <w:rPr>
                <w:i/>
                <w:iCs/>
                <w:sz w:val="20"/>
                <w:szCs w:val="20"/>
              </w:rPr>
              <w:t xml:space="preserve">What </w:t>
            </w:r>
            <w:r>
              <w:rPr>
                <w:i/>
                <w:iCs/>
                <w:sz w:val="20"/>
                <w:szCs w:val="20"/>
              </w:rPr>
              <w:t>is the economic ideas, perspectives</w:t>
            </w:r>
            <w:r>
              <w:rPr>
                <w:i/>
                <w:iCs/>
                <w:sz w:val="20"/>
                <w:szCs w:val="20"/>
              </w:rPr>
              <w:t xml:space="preserve">, </w:t>
            </w:r>
            <w:r>
              <w:rPr>
                <w:i/>
                <w:iCs/>
                <w:sz w:val="20"/>
                <w:szCs w:val="20"/>
              </w:rPr>
              <w:t>reasoning</w:t>
            </w:r>
            <w:r>
              <w:rPr>
                <w:i/>
                <w:iCs/>
                <w:sz w:val="20"/>
                <w:szCs w:val="20"/>
              </w:rPr>
              <w:t xml:space="preserve"> or caveat</w:t>
            </w:r>
            <w:r>
              <w:rPr>
                <w:sz w:val="20"/>
                <w:szCs w:val="20"/>
              </w:rPr>
              <w:t>?</w:t>
            </w:r>
          </w:p>
          <w:p w14:paraId="708CD894" w14:textId="77777777" w:rsidR="00D21A25" w:rsidRPr="00D21A25" w:rsidRDefault="00D21A25" w:rsidP="00BE2410">
            <w:pPr>
              <w:rPr>
                <w:sz w:val="20"/>
                <w:szCs w:val="20"/>
              </w:rPr>
            </w:pPr>
          </w:p>
        </w:tc>
      </w:tr>
      <w:tr w:rsidR="00D21A25" w:rsidRPr="00D21A25" w14:paraId="264B8EA8" w14:textId="665D9854" w:rsidTr="00D21A25">
        <w:tc>
          <w:tcPr>
            <w:tcW w:w="5030" w:type="dxa"/>
          </w:tcPr>
          <w:p w14:paraId="5E600FD0" w14:textId="77777777" w:rsidR="00D21A25" w:rsidRPr="00D21A25" w:rsidRDefault="00D21A25" w:rsidP="00BE2410">
            <w:r w:rsidRPr="00D21A25">
              <w:t>The Board will be attentive to the data and the evolving assessment of the outlook and risks to guide its decisions. In doing so, it will pay close attention to developments in the global economy and financial markets, trends in domestic demand and the outlook for inflation and the labour market. Having raised the cash rate three times, monetary policy is well placed to respond to developments and the Board is focused on its mandate to deliver price stability and full employment. It will do what it considers necessary to achieve that outcome.</w:t>
            </w:r>
          </w:p>
        </w:tc>
        <w:tc>
          <w:tcPr>
            <w:tcW w:w="4576" w:type="dxa"/>
          </w:tcPr>
          <w:p w14:paraId="0B3EAFC7" w14:textId="77777777" w:rsidR="00D21A25" w:rsidRPr="00D21A25" w:rsidRDefault="00D21A25" w:rsidP="00D21A25">
            <w:pPr>
              <w:rPr>
                <w:sz w:val="20"/>
                <w:szCs w:val="20"/>
              </w:rPr>
            </w:pPr>
            <w:r w:rsidRPr="00D21A25">
              <w:rPr>
                <w:i/>
                <w:iCs/>
                <w:sz w:val="20"/>
                <w:szCs w:val="20"/>
              </w:rPr>
              <w:t>What is the main point</w:t>
            </w:r>
            <w:r>
              <w:rPr>
                <w:sz w:val="20"/>
                <w:szCs w:val="20"/>
              </w:rPr>
              <w:t>?</w:t>
            </w:r>
          </w:p>
          <w:p w14:paraId="7EEA0B47" w14:textId="77777777" w:rsidR="00D21A25" w:rsidRPr="00D21A25" w:rsidRDefault="00D21A25" w:rsidP="00D21A25">
            <w:pPr>
              <w:rPr>
                <w:sz w:val="20"/>
                <w:szCs w:val="20"/>
              </w:rPr>
            </w:pPr>
          </w:p>
          <w:p w14:paraId="28B90BAA" w14:textId="77777777" w:rsidR="00D21A25" w:rsidRPr="00D21A25" w:rsidRDefault="00D21A25" w:rsidP="00D21A25">
            <w:pPr>
              <w:rPr>
                <w:sz w:val="20"/>
                <w:szCs w:val="20"/>
              </w:rPr>
            </w:pPr>
            <w:r w:rsidRPr="00D21A25">
              <w:rPr>
                <w:i/>
                <w:iCs/>
                <w:sz w:val="20"/>
                <w:szCs w:val="20"/>
              </w:rPr>
              <w:t xml:space="preserve">What </w:t>
            </w:r>
            <w:r>
              <w:rPr>
                <w:i/>
                <w:iCs/>
                <w:sz w:val="20"/>
                <w:szCs w:val="20"/>
              </w:rPr>
              <w:t>is the economic ideas, perspectives, reasoning or caveat</w:t>
            </w:r>
            <w:r>
              <w:rPr>
                <w:sz w:val="20"/>
                <w:szCs w:val="20"/>
              </w:rPr>
              <w:t>?</w:t>
            </w:r>
          </w:p>
          <w:p w14:paraId="2FA9C461" w14:textId="77777777" w:rsidR="00D21A25" w:rsidRPr="00D21A25" w:rsidRDefault="00D21A25" w:rsidP="00BE2410">
            <w:pPr>
              <w:rPr>
                <w:sz w:val="20"/>
                <w:szCs w:val="20"/>
              </w:rPr>
            </w:pPr>
          </w:p>
        </w:tc>
      </w:tr>
      <w:tr w:rsidR="00D21A25" w:rsidRPr="00D21A25" w14:paraId="6683FA45" w14:textId="1EDF8C5D" w:rsidTr="00D21A25">
        <w:tc>
          <w:tcPr>
            <w:tcW w:w="5030" w:type="dxa"/>
          </w:tcPr>
          <w:p w14:paraId="3BAC92AE" w14:textId="77777777" w:rsidR="00D21A25" w:rsidRPr="00D21A25" w:rsidRDefault="00D21A25" w:rsidP="00BE2410">
            <w:r w:rsidRPr="00D21A25">
              <w:t>Today’s policy decision was made by majority: eight members voted to increase the cash rate target by 25 basis points to 4.35 per cent; one member voted to leave the cash rate target unchanged at 4.10 per cent.</w:t>
            </w:r>
          </w:p>
        </w:tc>
        <w:tc>
          <w:tcPr>
            <w:tcW w:w="4576" w:type="dxa"/>
          </w:tcPr>
          <w:p w14:paraId="2BB21968" w14:textId="77777777" w:rsidR="00D21A25" w:rsidRDefault="00D21A25" w:rsidP="00BE2410">
            <w:pPr>
              <w:rPr>
                <w:sz w:val="20"/>
                <w:szCs w:val="20"/>
              </w:rPr>
            </w:pPr>
            <w:r w:rsidRPr="00732F70">
              <w:rPr>
                <w:i/>
                <w:iCs/>
                <w:sz w:val="20"/>
                <w:szCs w:val="20"/>
              </w:rPr>
              <w:t>Is there a movement</w:t>
            </w:r>
            <w:r>
              <w:rPr>
                <w:sz w:val="20"/>
                <w:szCs w:val="20"/>
              </w:rPr>
              <w:t>?</w:t>
            </w:r>
          </w:p>
          <w:p w14:paraId="1D970C72" w14:textId="77777777" w:rsidR="00D21A25" w:rsidRDefault="00D21A25" w:rsidP="00BE2410">
            <w:pPr>
              <w:rPr>
                <w:sz w:val="20"/>
                <w:szCs w:val="20"/>
              </w:rPr>
            </w:pPr>
          </w:p>
          <w:p w14:paraId="3C63F8D3" w14:textId="149AC1FE" w:rsidR="00D21A25" w:rsidRDefault="00D21A25" w:rsidP="00BE2410">
            <w:pPr>
              <w:rPr>
                <w:sz w:val="20"/>
                <w:szCs w:val="20"/>
              </w:rPr>
            </w:pPr>
            <w:r w:rsidRPr="00732F70">
              <w:rPr>
                <w:i/>
                <w:iCs/>
                <w:sz w:val="20"/>
                <w:szCs w:val="20"/>
              </w:rPr>
              <w:t>Is the movement up (contractionary) or down (</w:t>
            </w:r>
            <w:r w:rsidR="00732F70" w:rsidRPr="00732F70">
              <w:rPr>
                <w:i/>
                <w:iCs/>
                <w:sz w:val="20"/>
                <w:szCs w:val="20"/>
              </w:rPr>
              <w:t>expansionary)</w:t>
            </w:r>
            <w:r w:rsidR="00732F70">
              <w:rPr>
                <w:sz w:val="20"/>
                <w:szCs w:val="20"/>
              </w:rPr>
              <w:t>?</w:t>
            </w:r>
          </w:p>
          <w:p w14:paraId="56259281" w14:textId="77777777" w:rsidR="00D21A25" w:rsidRDefault="00D21A25" w:rsidP="00BE2410">
            <w:pPr>
              <w:rPr>
                <w:sz w:val="20"/>
                <w:szCs w:val="20"/>
              </w:rPr>
            </w:pPr>
          </w:p>
          <w:p w14:paraId="2A181203" w14:textId="77777777" w:rsidR="00D21A25" w:rsidRDefault="00D21A25" w:rsidP="00BE2410">
            <w:pPr>
              <w:rPr>
                <w:sz w:val="20"/>
                <w:szCs w:val="20"/>
              </w:rPr>
            </w:pPr>
            <w:r w:rsidRPr="00732F70">
              <w:rPr>
                <w:i/>
                <w:iCs/>
                <w:sz w:val="20"/>
                <w:szCs w:val="20"/>
              </w:rPr>
              <w:t>Is the movement significant</w:t>
            </w:r>
            <w:r>
              <w:rPr>
                <w:sz w:val="20"/>
                <w:szCs w:val="20"/>
              </w:rPr>
              <w:t>?</w:t>
            </w:r>
          </w:p>
          <w:p w14:paraId="01189E6F" w14:textId="4C3413F2" w:rsidR="00732F70" w:rsidRPr="00D21A25" w:rsidRDefault="00732F70" w:rsidP="00BE2410">
            <w:pPr>
              <w:rPr>
                <w:sz w:val="20"/>
                <w:szCs w:val="20"/>
              </w:rPr>
            </w:pPr>
          </w:p>
        </w:tc>
      </w:tr>
    </w:tbl>
    <w:p w14:paraId="5290CBD1" w14:textId="77777777" w:rsidR="00C62830" w:rsidRDefault="00C62830" w:rsidP="00D21A25"/>
    <w:sectPr w:rsidR="00C62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7C8"/>
    <w:multiLevelType w:val="hybridMultilevel"/>
    <w:tmpl w:val="C5783694"/>
    <w:lvl w:ilvl="0" w:tplc="52DC1CA4">
      <w:start w:val="1"/>
      <w:numFmt w:val="bullet"/>
      <w:pStyle w:val="List1"/>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0076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25"/>
    <w:rsid w:val="001F19F1"/>
    <w:rsid w:val="001F6EE5"/>
    <w:rsid w:val="0038429E"/>
    <w:rsid w:val="003C0AFF"/>
    <w:rsid w:val="003C7993"/>
    <w:rsid w:val="00511B25"/>
    <w:rsid w:val="00536674"/>
    <w:rsid w:val="00671A1C"/>
    <w:rsid w:val="00732F70"/>
    <w:rsid w:val="00887A2D"/>
    <w:rsid w:val="00916340"/>
    <w:rsid w:val="00C62830"/>
    <w:rsid w:val="00D21A25"/>
    <w:rsid w:val="00F033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B3DC"/>
  <w15:chartTrackingRefBased/>
  <w15:docId w15:val="{DA6BDBA7-B5EA-4DDC-9BFA-A23F3C32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A25"/>
  </w:style>
  <w:style w:type="paragraph" w:styleId="Heading1">
    <w:name w:val="heading 1"/>
    <w:basedOn w:val="Normal"/>
    <w:next w:val="Normal"/>
    <w:link w:val="Heading1Char"/>
    <w:uiPriority w:val="9"/>
    <w:qFormat/>
    <w:rsid w:val="00D21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A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A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A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A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A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A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A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0">
    <w:name w:val="List 1"/>
    <w:basedOn w:val="ListParagraph"/>
    <w:link w:val="List1Char"/>
    <w:qFormat/>
    <w:rsid w:val="00C62830"/>
  </w:style>
  <w:style w:type="character" w:customStyle="1" w:styleId="List1Char">
    <w:name w:val="List 1 Char"/>
    <w:basedOn w:val="DefaultParagraphFont"/>
    <w:link w:val="List10"/>
    <w:rsid w:val="00C62830"/>
  </w:style>
  <w:style w:type="paragraph" w:styleId="ListParagraph">
    <w:name w:val="List Paragraph"/>
    <w:basedOn w:val="Normal"/>
    <w:uiPriority w:val="34"/>
    <w:qFormat/>
    <w:rsid w:val="00C62830"/>
    <w:pPr>
      <w:ind w:left="720"/>
      <w:contextualSpacing/>
    </w:pPr>
  </w:style>
  <w:style w:type="paragraph" w:customStyle="1" w:styleId="List1">
    <w:name w:val="List_1"/>
    <w:basedOn w:val="ListParagraph"/>
    <w:link w:val="List1Char0"/>
    <w:qFormat/>
    <w:rsid w:val="003C0AFF"/>
    <w:pPr>
      <w:numPr>
        <w:numId w:val="1"/>
      </w:numPr>
      <w:ind w:left="284" w:hanging="284"/>
    </w:pPr>
  </w:style>
  <w:style w:type="character" w:customStyle="1" w:styleId="List1Char0">
    <w:name w:val="List_1 Char"/>
    <w:basedOn w:val="DefaultParagraphFont"/>
    <w:link w:val="List1"/>
    <w:rsid w:val="003C0AFF"/>
  </w:style>
  <w:style w:type="character" w:customStyle="1" w:styleId="Heading1Char">
    <w:name w:val="Heading 1 Char"/>
    <w:basedOn w:val="DefaultParagraphFont"/>
    <w:link w:val="Heading1"/>
    <w:uiPriority w:val="9"/>
    <w:rsid w:val="00D21A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A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A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A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A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A25"/>
    <w:rPr>
      <w:rFonts w:eastAsiaTheme="majorEastAsia" w:cstheme="majorBidi"/>
      <w:color w:val="272727" w:themeColor="text1" w:themeTint="D8"/>
    </w:rPr>
  </w:style>
  <w:style w:type="paragraph" w:styleId="Title">
    <w:name w:val="Title"/>
    <w:basedOn w:val="Normal"/>
    <w:next w:val="Normal"/>
    <w:link w:val="TitleChar"/>
    <w:uiPriority w:val="10"/>
    <w:qFormat/>
    <w:rsid w:val="00D21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A25"/>
    <w:pPr>
      <w:spacing w:before="160"/>
      <w:jc w:val="center"/>
    </w:pPr>
    <w:rPr>
      <w:i/>
      <w:iCs/>
      <w:color w:val="404040" w:themeColor="text1" w:themeTint="BF"/>
    </w:rPr>
  </w:style>
  <w:style w:type="character" w:customStyle="1" w:styleId="QuoteChar">
    <w:name w:val="Quote Char"/>
    <w:basedOn w:val="DefaultParagraphFont"/>
    <w:link w:val="Quote"/>
    <w:uiPriority w:val="29"/>
    <w:rsid w:val="00D21A25"/>
    <w:rPr>
      <w:i/>
      <w:iCs/>
      <w:color w:val="404040" w:themeColor="text1" w:themeTint="BF"/>
    </w:rPr>
  </w:style>
  <w:style w:type="character" w:styleId="IntenseEmphasis">
    <w:name w:val="Intense Emphasis"/>
    <w:basedOn w:val="DefaultParagraphFont"/>
    <w:uiPriority w:val="21"/>
    <w:qFormat/>
    <w:rsid w:val="00D21A25"/>
    <w:rPr>
      <w:i/>
      <w:iCs/>
      <w:color w:val="0F4761" w:themeColor="accent1" w:themeShade="BF"/>
    </w:rPr>
  </w:style>
  <w:style w:type="paragraph" w:styleId="IntenseQuote">
    <w:name w:val="Intense Quote"/>
    <w:basedOn w:val="Normal"/>
    <w:next w:val="Normal"/>
    <w:link w:val="IntenseQuoteChar"/>
    <w:uiPriority w:val="30"/>
    <w:qFormat/>
    <w:rsid w:val="00D21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A25"/>
    <w:rPr>
      <w:i/>
      <w:iCs/>
      <w:color w:val="0F4761" w:themeColor="accent1" w:themeShade="BF"/>
    </w:rPr>
  </w:style>
  <w:style w:type="character" w:styleId="IntenseReference">
    <w:name w:val="Intense Reference"/>
    <w:basedOn w:val="DefaultParagraphFont"/>
    <w:uiPriority w:val="32"/>
    <w:qFormat/>
    <w:rsid w:val="00D21A25"/>
    <w:rPr>
      <w:b/>
      <w:bCs/>
      <w:smallCaps/>
      <w:color w:val="0F4761" w:themeColor="accent1" w:themeShade="BF"/>
      <w:spacing w:val="5"/>
    </w:rPr>
  </w:style>
  <w:style w:type="table" w:styleId="TableGrid">
    <w:name w:val="Table Grid"/>
    <w:basedOn w:val="TableNormal"/>
    <w:uiPriority w:val="39"/>
    <w:rsid w:val="00D21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Dowd</dc:creator>
  <cp:keywords/>
  <dc:description/>
  <cp:lastModifiedBy>Christine Dowd</cp:lastModifiedBy>
  <cp:revision>1</cp:revision>
  <dcterms:created xsi:type="dcterms:W3CDTF">2026-05-16T09:55:00Z</dcterms:created>
  <dcterms:modified xsi:type="dcterms:W3CDTF">2026-05-16T10:07:00Z</dcterms:modified>
</cp:coreProperties>
</file>