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3173" w14:textId="228E3C36" w:rsidR="00C62830" w:rsidRDefault="0077549A">
      <w:r>
        <w:rPr>
          <w:noProof/>
        </w:rPr>
        <mc:AlternateContent>
          <mc:Choice Requires="wps">
            <w:drawing>
              <wp:anchor distT="0" distB="0" distL="114300" distR="114300" simplePos="0" relativeHeight="251664384" behindDoc="0" locked="0" layoutInCell="1" allowOverlap="1" wp14:anchorId="38167733" wp14:editId="511C961B">
                <wp:simplePos x="0" y="0"/>
                <wp:positionH relativeFrom="column">
                  <wp:posOffset>45267</wp:posOffset>
                </wp:positionH>
                <wp:positionV relativeFrom="paragraph">
                  <wp:posOffset>-579423</wp:posOffset>
                </wp:positionV>
                <wp:extent cx="13335755" cy="669957"/>
                <wp:effectExtent l="0" t="0" r="18415" b="15875"/>
                <wp:wrapNone/>
                <wp:docPr id="274768693" name="Text Box 1"/>
                <wp:cNvGraphicFramePr/>
                <a:graphic xmlns:a="http://schemas.openxmlformats.org/drawingml/2006/main">
                  <a:graphicData uri="http://schemas.microsoft.com/office/word/2010/wordprocessingShape">
                    <wps:wsp>
                      <wps:cNvSpPr txBox="1"/>
                      <wps:spPr>
                        <a:xfrm>
                          <a:off x="0" y="0"/>
                          <a:ext cx="13335755" cy="669957"/>
                        </a:xfrm>
                        <a:prstGeom prst="rect">
                          <a:avLst/>
                        </a:prstGeom>
                        <a:solidFill>
                          <a:schemeClr val="lt1"/>
                        </a:solidFill>
                        <a:ln w="6350">
                          <a:solidFill>
                            <a:prstClr val="black"/>
                          </a:solidFill>
                        </a:ln>
                      </wps:spPr>
                      <wps:txbx>
                        <w:txbxContent>
                          <w:p w14:paraId="14B20363" w14:textId="2B6E001F" w:rsidR="0077549A" w:rsidRDefault="0077549A" w:rsidP="0077549A">
                            <w:pPr>
                              <w:pStyle w:val="Header"/>
                              <w:ind w:right="-899"/>
                              <w:rPr>
                                <w:color w:val="C00000"/>
                                <w:sz w:val="24"/>
                                <w:szCs w:val="24"/>
                              </w:rPr>
                            </w:pPr>
                            <w:r>
                              <w:rPr>
                                <w:color w:val="C00000"/>
                                <w:sz w:val="24"/>
                                <w:szCs w:val="24"/>
                              </w:rPr>
                              <w:t>Activity</w:t>
                            </w:r>
                            <w:r w:rsidRPr="00E719A0">
                              <w:rPr>
                                <w:color w:val="C00000"/>
                                <w:sz w:val="24"/>
                                <w:szCs w:val="24"/>
                              </w:rPr>
                              <w:t xml:space="preserve">: Interpret each of the boxes to draw meaning for the Australian economy. </w:t>
                            </w:r>
                          </w:p>
                          <w:p w14:paraId="03CC1371" w14:textId="77777777" w:rsidR="0077549A" w:rsidRDefault="0077549A" w:rsidP="0077549A">
                            <w:pPr>
                              <w:pStyle w:val="Header"/>
                              <w:ind w:right="-615"/>
                              <w:rPr>
                                <w:color w:val="C00000"/>
                                <w:sz w:val="24"/>
                                <w:szCs w:val="24"/>
                              </w:rPr>
                            </w:pPr>
                            <w:r>
                              <w:rPr>
                                <w:color w:val="C00000"/>
                                <w:sz w:val="24"/>
                                <w:szCs w:val="24"/>
                              </w:rPr>
                              <w:t>M</w:t>
                            </w:r>
                            <w:r w:rsidRPr="00E719A0">
                              <w:rPr>
                                <w:color w:val="C00000"/>
                                <w:sz w:val="24"/>
                                <w:szCs w:val="24"/>
                              </w:rPr>
                              <w:t>ake a decision whether the cash rate should change, using inflation and employment. Use economic reasoning to justify the decision.</w:t>
                            </w:r>
                            <w:r>
                              <w:rPr>
                                <w:color w:val="C00000"/>
                                <w:sz w:val="24"/>
                                <w:szCs w:val="24"/>
                              </w:rPr>
                              <w:t xml:space="preserve"> </w:t>
                            </w:r>
                          </w:p>
                          <w:p w14:paraId="0C38B3B3" w14:textId="4431E318" w:rsidR="0077549A" w:rsidRPr="00E719A0" w:rsidRDefault="0077549A" w:rsidP="0077549A">
                            <w:pPr>
                              <w:pStyle w:val="Header"/>
                              <w:ind w:right="-615"/>
                              <w:rPr>
                                <w:color w:val="C00000"/>
                                <w:sz w:val="24"/>
                                <w:szCs w:val="24"/>
                              </w:rPr>
                            </w:pPr>
                            <w:r>
                              <w:rPr>
                                <w:color w:val="C00000"/>
                                <w:sz w:val="24"/>
                                <w:szCs w:val="24"/>
                              </w:rPr>
                              <w:t>Would</w:t>
                            </w:r>
                            <w:r>
                              <w:rPr>
                                <w:color w:val="C00000"/>
                                <w:sz w:val="24"/>
                                <w:szCs w:val="24"/>
                              </w:rPr>
                              <w:t xml:space="preserve"> your decision change if you were a householder or a Business?</w:t>
                            </w:r>
                            <w:r>
                              <w:rPr>
                                <w:color w:val="C00000"/>
                                <w:sz w:val="24"/>
                                <w:szCs w:val="24"/>
                              </w:rPr>
                              <w:t xml:space="preserve"> Why and how?</w:t>
                            </w:r>
                          </w:p>
                          <w:p w14:paraId="6BDDE0A7" w14:textId="77777777" w:rsidR="0077549A" w:rsidRDefault="0077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167733" id="_x0000_t202" coordsize="21600,21600" o:spt="202" path="m,l,21600r21600,l21600,xe">
                <v:stroke joinstyle="miter"/>
                <v:path gradientshapeok="t" o:connecttype="rect"/>
              </v:shapetype>
              <v:shape id="Text Box 1" o:spid="_x0000_s1026" type="#_x0000_t202" style="position:absolute;margin-left:3.55pt;margin-top:-45.6pt;width:1050.05pt;height:5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" fillcolor="white [3201]" strokeweight=".5pt">
                <v:textbox>
                  <w:txbxContent>
                    <w:p w14:paraId="14B20363" w14:textId="2B6E001F" w:rsidR="0077549A" w:rsidRDefault="0077549A" w:rsidP="0077549A">
                      <w:pPr>
                        <w:pStyle w:val="Header"/>
                        <w:ind w:right="-899"/>
                        <w:rPr>
                          <w:color w:val="C00000"/>
                          <w:sz w:val="24"/>
                          <w:szCs w:val="24"/>
                        </w:rPr>
                      </w:pPr>
                      <w:r>
                        <w:rPr>
                          <w:color w:val="C00000"/>
                          <w:sz w:val="24"/>
                          <w:szCs w:val="24"/>
                        </w:rPr>
                        <w:t>Activity</w:t>
                      </w:r>
                      <w:r w:rsidRPr="00E719A0">
                        <w:rPr>
                          <w:color w:val="C00000"/>
                          <w:sz w:val="24"/>
                          <w:szCs w:val="24"/>
                        </w:rPr>
                        <w:t xml:space="preserve">: Interpret each of the boxes to draw meaning for the Australian economy. </w:t>
                      </w:r>
                    </w:p>
                    <w:p w14:paraId="03CC1371" w14:textId="77777777" w:rsidR="0077549A" w:rsidRDefault="0077549A" w:rsidP="0077549A">
                      <w:pPr>
                        <w:pStyle w:val="Header"/>
                        <w:ind w:right="-615"/>
                        <w:rPr>
                          <w:color w:val="C00000"/>
                          <w:sz w:val="24"/>
                          <w:szCs w:val="24"/>
                        </w:rPr>
                      </w:pPr>
                      <w:r>
                        <w:rPr>
                          <w:color w:val="C00000"/>
                          <w:sz w:val="24"/>
                          <w:szCs w:val="24"/>
                        </w:rPr>
                        <w:t>M</w:t>
                      </w:r>
                      <w:r w:rsidRPr="00E719A0">
                        <w:rPr>
                          <w:color w:val="C00000"/>
                          <w:sz w:val="24"/>
                          <w:szCs w:val="24"/>
                        </w:rPr>
                        <w:t>ake a decision whether the cash rate should change, using inflation and employment. Use economic reasoning to justify the decision.</w:t>
                      </w:r>
                      <w:r>
                        <w:rPr>
                          <w:color w:val="C00000"/>
                          <w:sz w:val="24"/>
                          <w:szCs w:val="24"/>
                        </w:rPr>
                        <w:t xml:space="preserve"> </w:t>
                      </w:r>
                    </w:p>
                    <w:p w14:paraId="0C38B3B3" w14:textId="4431E318" w:rsidR="0077549A" w:rsidRPr="00E719A0" w:rsidRDefault="0077549A" w:rsidP="0077549A">
                      <w:pPr>
                        <w:pStyle w:val="Header"/>
                        <w:ind w:right="-615"/>
                        <w:rPr>
                          <w:color w:val="C00000"/>
                          <w:sz w:val="24"/>
                          <w:szCs w:val="24"/>
                        </w:rPr>
                      </w:pPr>
                      <w:r>
                        <w:rPr>
                          <w:color w:val="C00000"/>
                          <w:sz w:val="24"/>
                          <w:szCs w:val="24"/>
                        </w:rPr>
                        <w:t>Would</w:t>
                      </w:r>
                      <w:r>
                        <w:rPr>
                          <w:color w:val="C00000"/>
                          <w:sz w:val="24"/>
                          <w:szCs w:val="24"/>
                        </w:rPr>
                        <w:t xml:space="preserve"> your decision change if you were a householder or a Business?</w:t>
                      </w:r>
                      <w:r>
                        <w:rPr>
                          <w:color w:val="C00000"/>
                          <w:sz w:val="24"/>
                          <w:szCs w:val="24"/>
                        </w:rPr>
                        <w:t xml:space="preserve"> Why and how?</w:t>
                      </w:r>
                    </w:p>
                    <w:p w14:paraId="6BDDE0A7" w14:textId="77777777" w:rsidR="0077549A" w:rsidRDefault="0077549A"/>
                  </w:txbxContent>
                </v:textbox>
              </v:shape>
            </w:pict>
          </mc:Fallback>
        </mc:AlternateContent>
      </w:r>
    </w:p>
    <w:p w14:paraId="72AFE82D" w14:textId="035F5C61" w:rsidR="00104348" w:rsidRDefault="0077549A">
      <w:r>
        <w:rPr>
          <w:noProof/>
        </w:rPr>
        <mc:AlternateContent>
          <mc:Choice Requires="wps">
            <w:drawing>
              <wp:anchor distT="0" distB="0" distL="114300" distR="114300" simplePos="0" relativeHeight="251659264" behindDoc="0" locked="0" layoutInCell="1" allowOverlap="1" wp14:anchorId="11931ECF" wp14:editId="53E43F23">
                <wp:simplePos x="0" y="0"/>
                <wp:positionH relativeFrom="column">
                  <wp:posOffset>4753610</wp:posOffset>
                </wp:positionH>
                <wp:positionV relativeFrom="paragraph">
                  <wp:posOffset>31115</wp:posOffset>
                </wp:positionV>
                <wp:extent cx="4025265" cy="2635250"/>
                <wp:effectExtent l="10160" t="9525" r="12700" b="12700"/>
                <wp:wrapNone/>
                <wp:docPr id="2130277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635250"/>
                        </a:xfrm>
                        <a:prstGeom prst="rect">
                          <a:avLst/>
                        </a:prstGeom>
                        <a:solidFill>
                          <a:srgbClr val="FFFFFF"/>
                        </a:solidFill>
                        <a:ln w="9525">
                          <a:solidFill>
                            <a:srgbClr val="000000"/>
                          </a:solidFill>
                          <a:miter lim="800000"/>
                          <a:headEnd/>
                          <a:tailEnd/>
                        </a:ln>
                      </wps:spPr>
                      <wps:txbx>
                        <w:txbxContent>
                          <w:p w14:paraId="21828369" w14:textId="77777777" w:rsidR="00104348" w:rsidRDefault="00104348">
                            <w:r w:rsidRPr="00104348">
                              <w:rPr>
                                <w:b/>
                                <w:bCs/>
                              </w:rPr>
                              <w:t>In Australia, GDP growth had picked up strongly in the December quarter 2025, as expected, supported by some of the same factors as global growth. Prior to the Middle East conflict, domestic capacity and inflation pressures remained elevated.</w:t>
                            </w:r>
                            <w:r w:rsidRPr="00104348">
                              <w:t> </w:t>
                            </w:r>
                          </w:p>
                          <w:p w14:paraId="338410DB" w14:textId="77777777" w:rsidR="00104348" w:rsidRDefault="00104348" w:rsidP="00104348">
                            <w:pPr>
                              <w:pStyle w:val="List1"/>
                            </w:pPr>
                            <w:r w:rsidRPr="00104348">
                              <w:t xml:space="preserve">Private investment was stronger than anticipated in the December quarter </w:t>
                            </w:r>
                          </w:p>
                          <w:p w14:paraId="090EAE93" w14:textId="1159CB03" w:rsidR="00104348" w:rsidRDefault="00104348" w:rsidP="00104348">
                            <w:pPr>
                              <w:pStyle w:val="List1"/>
                            </w:pPr>
                            <w:r>
                              <w:t>H</w:t>
                            </w:r>
                            <w:r w:rsidRPr="00104348">
                              <w:t xml:space="preserve">ousehold consumption </w:t>
                            </w:r>
                            <w:r>
                              <w:t>growth existed but not as strong as expected</w:t>
                            </w:r>
                          </w:p>
                          <w:p w14:paraId="0C0F38D7" w14:textId="77777777" w:rsidR="00104348" w:rsidRDefault="00104348" w:rsidP="00104348">
                            <w:pPr>
                              <w:pStyle w:val="List1"/>
                            </w:pPr>
                            <w:r w:rsidRPr="00104348">
                              <w:t xml:space="preserve">Timely data suggest that consumption </w:t>
                            </w:r>
                          </w:p>
                          <w:p w14:paraId="2234E290" w14:textId="77777777" w:rsidR="00104348" w:rsidRDefault="00104348" w:rsidP="00104348">
                            <w:pPr>
                              <w:pStyle w:val="List1"/>
                            </w:pPr>
                            <w:r w:rsidRPr="00104348">
                              <w:t xml:space="preserve">Labour market conditions remain somewhat tight relative to full employment. </w:t>
                            </w:r>
                          </w:p>
                          <w:p w14:paraId="438B1E50" w14:textId="11B0923F" w:rsidR="00104348" w:rsidRDefault="00104348" w:rsidP="00104348">
                            <w:pPr>
                              <w:pStyle w:val="List1"/>
                            </w:pPr>
                            <w:r w:rsidRPr="00104348">
                              <w:t>Underlying inflation remained elevated in the March quarter.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1ECF" id="Text Box 3" o:spid="_x0000_s1027" type="#_x0000_t202" style="position:absolute;margin-left:374.3pt;margin-top:2.45pt;width:316.9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">
                <v:textbox>
                  <w:txbxContent>
                    <w:p w14:paraId="21828369" w14:textId="77777777" w:rsidR="00104348" w:rsidRDefault="00104348">
                      <w:r w:rsidRPr="00104348">
                        <w:rPr>
                          <w:b/>
                          <w:bCs/>
                        </w:rPr>
                        <w:t>In Australia, GDP growth had picked up strongly in the December quarter 2025, as expected, supported by some of the same factors as global growth. Prior to the Middle East conflict, domestic capacity and inflation pressures remained elevated.</w:t>
                      </w:r>
                      <w:r w:rsidRPr="00104348">
                        <w:t> </w:t>
                      </w:r>
                    </w:p>
                    <w:p w14:paraId="338410DB" w14:textId="77777777" w:rsidR="00104348" w:rsidRDefault="00104348" w:rsidP="00104348">
                      <w:pPr>
                        <w:pStyle w:val="List1"/>
                      </w:pPr>
                      <w:r w:rsidRPr="00104348">
                        <w:t xml:space="preserve">Private investment was stronger than anticipated in the December quarter </w:t>
                      </w:r>
                    </w:p>
                    <w:p w14:paraId="090EAE93" w14:textId="1159CB03" w:rsidR="00104348" w:rsidRDefault="00104348" w:rsidP="00104348">
                      <w:pPr>
                        <w:pStyle w:val="List1"/>
                      </w:pPr>
                      <w:r>
                        <w:t>H</w:t>
                      </w:r>
                      <w:r w:rsidRPr="00104348">
                        <w:t xml:space="preserve">ousehold consumption </w:t>
                      </w:r>
                      <w:r>
                        <w:t>growth existed but not as strong as expected</w:t>
                      </w:r>
                    </w:p>
                    <w:p w14:paraId="0C0F38D7" w14:textId="77777777" w:rsidR="00104348" w:rsidRDefault="00104348" w:rsidP="00104348">
                      <w:pPr>
                        <w:pStyle w:val="List1"/>
                      </w:pPr>
                      <w:r w:rsidRPr="00104348">
                        <w:t xml:space="preserve">Timely data suggest that consumption </w:t>
                      </w:r>
                    </w:p>
                    <w:p w14:paraId="2234E290" w14:textId="77777777" w:rsidR="00104348" w:rsidRDefault="00104348" w:rsidP="00104348">
                      <w:pPr>
                        <w:pStyle w:val="List1"/>
                      </w:pPr>
                      <w:r w:rsidRPr="00104348">
                        <w:t xml:space="preserve">Labour market conditions remain somewhat tight relative to full employment. </w:t>
                      </w:r>
                    </w:p>
                    <w:p w14:paraId="438B1E50" w14:textId="11B0923F" w:rsidR="00104348" w:rsidRDefault="00104348" w:rsidP="00104348">
                      <w:pPr>
                        <w:pStyle w:val="List1"/>
                      </w:pPr>
                      <w:r w:rsidRPr="00104348">
                        <w:t>Underlying inflation remained elevated in the March quarter.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B35762" wp14:editId="1A9EA9C9">
                <wp:simplePos x="0" y="0"/>
                <wp:positionH relativeFrom="column">
                  <wp:posOffset>9498965</wp:posOffset>
                </wp:positionH>
                <wp:positionV relativeFrom="paragraph">
                  <wp:posOffset>21590</wp:posOffset>
                </wp:positionV>
                <wp:extent cx="3900805" cy="2088515"/>
                <wp:effectExtent l="12065" t="9525" r="11430" b="6985"/>
                <wp:wrapNone/>
                <wp:docPr id="1686454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2088515"/>
                        </a:xfrm>
                        <a:prstGeom prst="rect">
                          <a:avLst/>
                        </a:prstGeom>
                        <a:solidFill>
                          <a:srgbClr val="FFFFFF"/>
                        </a:solidFill>
                        <a:ln w="9525">
                          <a:solidFill>
                            <a:srgbClr val="000000"/>
                          </a:solidFill>
                          <a:miter lim="800000"/>
                          <a:headEnd/>
                          <a:tailEnd/>
                        </a:ln>
                      </wps:spPr>
                      <wps:txbx>
                        <w:txbxContent>
                          <w:p w14:paraId="0056DA18" w14:textId="77777777" w:rsidR="00104348" w:rsidRDefault="00104348" w:rsidP="00104348">
                            <w:r w:rsidRPr="00104348">
                              <w:rPr>
                                <w:b/>
                                <w:bCs/>
                              </w:rPr>
                              <w:t>The Middle East conflict has severely disrupted energy production and shipping in the region, driving sharp increases in the global prices of oil (66 per cent), liquefied natural gas (44 per cent) and other key commodities.</w:t>
                            </w:r>
                            <w:r w:rsidRPr="00104348">
                              <w:t> </w:t>
                            </w:r>
                          </w:p>
                          <w:p w14:paraId="4D23E0B7" w14:textId="77777777" w:rsidR="00104348" w:rsidRDefault="00104348" w:rsidP="00104348">
                            <w:pPr>
                              <w:pStyle w:val="List1"/>
                            </w:pPr>
                            <w:r>
                              <w:t>G</w:t>
                            </w:r>
                            <w:r w:rsidRPr="00104348">
                              <w:t xml:space="preserve">lobal supply of oil has fallen by around 10 per cent. </w:t>
                            </w:r>
                          </w:p>
                          <w:p w14:paraId="213922FF" w14:textId="77777777" w:rsidR="00104348" w:rsidRDefault="00104348" w:rsidP="00104348">
                            <w:pPr>
                              <w:pStyle w:val="List1"/>
                            </w:pPr>
                            <w:r w:rsidRPr="00104348">
                              <w:t xml:space="preserve">The conflict has also significantly increased prices of related commodities, such as thermal coal and some fertilisers. </w:t>
                            </w:r>
                          </w:p>
                          <w:p w14:paraId="6C7E7DC6" w14:textId="7B9DD98C" w:rsidR="00104348" w:rsidRDefault="00104348" w:rsidP="00E719A0">
                            <w:pPr>
                              <w:pStyle w:val="List1"/>
                            </w:pPr>
                            <w:r w:rsidRPr="00104348">
                              <w:t>Measures of global economic uncertainty have increased.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5762" id="Text Box 4" o:spid="_x0000_s1028" type="#_x0000_t202" style="position:absolute;margin-left:747.95pt;margin-top:1.7pt;width:307.15pt;height:1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">
                <v:textbox>
                  <w:txbxContent>
                    <w:p w14:paraId="0056DA18" w14:textId="77777777" w:rsidR="00104348" w:rsidRDefault="00104348" w:rsidP="00104348">
                      <w:r w:rsidRPr="00104348">
                        <w:rPr>
                          <w:b/>
                          <w:bCs/>
                        </w:rPr>
                        <w:t>The Middle East conflict has severely disrupted energy production and shipping in the region, driving sharp increases in the global prices of oil (66 per cent), liquefied natural gas (44 per cent) and other key commodities.</w:t>
                      </w:r>
                      <w:r w:rsidRPr="00104348">
                        <w:t> </w:t>
                      </w:r>
                    </w:p>
                    <w:p w14:paraId="4D23E0B7" w14:textId="77777777" w:rsidR="00104348" w:rsidRDefault="00104348" w:rsidP="00104348">
                      <w:pPr>
                        <w:pStyle w:val="List1"/>
                      </w:pPr>
                      <w:r>
                        <w:t>G</w:t>
                      </w:r>
                      <w:r w:rsidRPr="00104348">
                        <w:t xml:space="preserve">lobal supply of oil has fallen by around 10 per cent. </w:t>
                      </w:r>
                    </w:p>
                    <w:p w14:paraId="213922FF" w14:textId="77777777" w:rsidR="00104348" w:rsidRDefault="00104348" w:rsidP="00104348">
                      <w:pPr>
                        <w:pStyle w:val="List1"/>
                      </w:pPr>
                      <w:r w:rsidRPr="00104348">
                        <w:t xml:space="preserve">The conflict has also significantly increased prices of related commodities, such as thermal coal and some fertilisers. </w:t>
                      </w:r>
                    </w:p>
                    <w:p w14:paraId="6C7E7DC6" w14:textId="7B9DD98C" w:rsidR="00104348" w:rsidRDefault="00104348" w:rsidP="00E719A0">
                      <w:pPr>
                        <w:pStyle w:val="List1"/>
                      </w:pPr>
                      <w:r w:rsidRPr="00104348">
                        <w:t>Measures of global economic uncertainty have increased.</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D225885" wp14:editId="509FB34E">
                <wp:simplePos x="0" y="0"/>
                <wp:positionH relativeFrom="column">
                  <wp:posOffset>110490</wp:posOffset>
                </wp:positionH>
                <wp:positionV relativeFrom="paragraph">
                  <wp:posOffset>31593</wp:posOffset>
                </wp:positionV>
                <wp:extent cx="3936365" cy="1971040"/>
                <wp:effectExtent l="5715" t="9525" r="10795" b="10160"/>
                <wp:wrapNone/>
                <wp:docPr id="166962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1971040"/>
                        </a:xfrm>
                        <a:prstGeom prst="rect">
                          <a:avLst/>
                        </a:prstGeom>
                        <a:solidFill>
                          <a:srgbClr val="FFFFFF"/>
                        </a:solidFill>
                        <a:ln w="9525">
                          <a:solidFill>
                            <a:srgbClr val="000000"/>
                          </a:solidFill>
                          <a:miter lim="800000"/>
                          <a:headEnd/>
                          <a:tailEnd/>
                        </a:ln>
                      </wps:spPr>
                      <wps:txbx>
                        <w:txbxContent>
                          <w:p w14:paraId="03811F8F" w14:textId="77777777" w:rsidR="00104348" w:rsidRDefault="00104348" w:rsidP="00104348">
                            <w:pPr>
                              <w:rPr>
                                <w:b/>
                                <w:bCs/>
                              </w:rPr>
                            </w:pPr>
                            <w:r w:rsidRPr="00104348">
                              <w:rPr>
                                <w:b/>
                                <w:bCs/>
                              </w:rPr>
                              <w:t>Prior to the conflict in the Middle East, growth in Australia’s major trading partners had been stronger than expected, as a surge in AI-related investment boosted US domestic demand and east Asian exports. </w:t>
                            </w:r>
                          </w:p>
                          <w:p w14:paraId="5561B7C5" w14:textId="77777777" w:rsidR="00104348" w:rsidRDefault="00104348" w:rsidP="00104348">
                            <w:pPr>
                              <w:pStyle w:val="List1"/>
                            </w:pPr>
                            <w:r w:rsidRPr="00104348">
                              <w:t xml:space="preserve">Growth in advanced economies other than the United States was generally subdued in late 2025, broadly as expected in February. </w:t>
                            </w:r>
                          </w:p>
                          <w:p w14:paraId="25B10EC1" w14:textId="655051DF" w:rsidR="00104348" w:rsidRPr="00104348" w:rsidRDefault="00104348" w:rsidP="00104348">
                            <w:pPr>
                              <w:pStyle w:val="List1"/>
                            </w:pPr>
                            <w:r w:rsidRPr="00104348">
                              <w:t>GDP growth in China in the March quarter 2026 was slightly stronger than expected, at 1.3 per cent.</w:t>
                            </w:r>
                          </w:p>
                          <w:p w14:paraId="5898720A" w14:textId="19CE982F" w:rsidR="00104348" w:rsidRDefault="00104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5885" id="Text Box 2" o:spid="_x0000_s1029" type="#_x0000_t202" style="position:absolute;margin-left:8.7pt;margin-top:2.5pt;width:309.95pt;height:1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">
                <v:textbox>
                  <w:txbxContent>
                    <w:p w14:paraId="03811F8F" w14:textId="77777777" w:rsidR="00104348" w:rsidRDefault="00104348" w:rsidP="00104348">
                      <w:pPr>
                        <w:rPr>
                          <w:b/>
                          <w:bCs/>
                        </w:rPr>
                      </w:pPr>
                      <w:r w:rsidRPr="00104348">
                        <w:rPr>
                          <w:b/>
                          <w:bCs/>
                        </w:rPr>
                        <w:t>Prior to the conflict in the Middle East, growth in Australia’s major trading partners had been stronger than expected, as a surge in AI-related investment boosted US domestic demand and east Asian exports. </w:t>
                      </w:r>
                    </w:p>
                    <w:p w14:paraId="5561B7C5" w14:textId="77777777" w:rsidR="00104348" w:rsidRDefault="00104348" w:rsidP="00104348">
                      <w:pPr>
                        <w:pStyle w:val="List1"/>
                      </w:pPr>
                      <w:r w:rsidRPr="00104348">
                        <w:t xml:space="preserve">Growth in advanced economies other than the United States was generally subdued in late 2025, broadly as expected in February. </w:t>
                      </w:r>
                    </w:p>
                    <w:p w14:paraId="25B10EC1" w14:textId="655051DF" w:rsidR="00104348" w:rsidRPr="00104348" w:rsidRDefault="00104348" w:rsidP="00104348">
                      <w:pPr>
                        <w:pStyle w:val="List1"/>
                      </w:pPr>
                      <w:r w:rsidRPr="00104348">
                        <w:t>GDP growth in China in the March quarter 2026 was slightly stronger than expected, at 1.3 per cent.</w:t>
                      </w:r>
                    </w:p>
                    <w:p w14:paraId="5898720A" w14:textId="19CE982F" w:rsidR="00104348" w:rsidRDefault="00104348"/>
                  </w:txbxContent>
                </v:textbox>
              </v:shape>
            </w:pict>
          </mc:Fallback>
        </mc:AlternateContent>
      </w:r>
    </w:p>
    <w:p w14:paraId="5D6394F5" w14:textId="25D26540" w:rsidR="00104348" w:rsidRDefault="00104348"/>
    <w:p w14:paraId="1D09FCBC" w14:textId="7C658222" w:rsidR="00104348" w:rsidRDefault="00E719A0">
      <w:r>
        <w:rPr>
          <w:noProof/>
        </w:rPr>
        <mc:AlternateContent>
          <mc:Choice Requires="wps">
            <w:drawing>
              <wp:anchor distT="0" distB="0" distL="114300" distR="114300" simplePos="0" relativeHeight="251663360" behindDoc="0" locked="0" layoutInCell="1" allowOverlap="1" wp14:anchorId="3D225885" wp14:editId="06A17DD8">
                <wp:simplePos x="0" y="0"/>
                <wp:positionH relativeFrom="column">
                  <wp:posOffset>4671695</wp:posOffset>
                </wp:positionH>
                <wp:positionV relativeFrom="paragraph">
                  <wp:posOffset>4457065</wp:posOffset>
                </wp:positionV>
                <wp:extent cx="4107180" cy="3302000"/>
                <wp:effectExtent l="13970" t="8255" r="12700" b="13970"/>
                <wp:wrapNone/>
                <wp:docPr id="757250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3302000"/>
                        </a:xfrm>
                        <a:prstGeom prst="rect">
                          <a:avLst/>
                        </a:prstGeom>
                        <a:solidFill>
                          <a:srgbClr val="FFFFFF"/>
                        </a:solidFill>
                        <a:ln w="9525">
                          <a:solidFill>
                            <a:srgbClr val="000000"/>
                          </a:solidFill>
                          <a:miter lim="800000"/>
                          <a:headEnd/>
                          <a:tailEnd/>
                        </a:ln>
                      </wps:spPr>
                      <wps:txbx>
                        <w:txbxContent>
                          <w:p w14:paraId="2E9EC11D" w14:textId="77777777" w:rsidR="00526D27" w:rsidRDefault="00526D27" w:rsidP="00526D27">
                            <w:pPr>
                              <w:pStyle w:val="List1"/>
                              <w:numPr>
                                <w:ilvl w:val="0"/>
                                <w:numId w:val="0"/>
                              </w:numPr>
                              <w:rPr>
                                <w:b/>
                                <w:bCs/>
                              </w:rPr>
                            </w:pPr>
                            <w:r w:rsidRPr="00526D27">
                              <w:rPr>
                                <w:b/>
                                <w:bCs/>
                              </w:rPr>
                              <w:t xml:space="preserve">There is little evidence so far that overall economic activity in Australia has been significantly affected by the conflict. </w:t>
                            </w:r>
                          </w:p>
                          <w:p w14:paraId="3FD54CD0" w14:textId="77777777" w:rsidR="00526D27" w:rsidRDefault="00526D27" w:rsidP="00526D27">
                            <w:pPr>
                              <w:pStyle w:val="List1"/>
                            </w:pPr>
                            <w:r w:rsidRPr="00526D27">
                              <w:t>The fuel price increases seen to date imply a limited impact on households’ real income. </w:t>
                            </w:r>
                          </w:p>
                          <w:p w14:paraId="2AEC9E88" w14:textId="77777777" w:rsidR="00526D27" w:rsidRDefault="00526D27" w:rsidP="00526D27">
                            <w:pPr>
                              <w:pStyle w:val="List1"/>
                            </w:pPr>
                            <w:r w:rsidRPr="00526D27">
                              <w:t xml:space="preserve">While consumer and business sentiment indicators have fallen sharply in Australia since the start of the conflict, these series are typically only weakly correlated with actual spending. </w:t>
                            </w:r>
                          </w:p>
                          <w:p w14:paraId="44530580" w14:textId="77777777" w:rsidR="00526D27" w:rsidRDefault="00526D27" w:rsidP="00526D27">
                            <w:pPr>
                              <w:pStyle w:val="List1"/>
                            </w:pPr>
                            <w:r>
                              <w:t>R</w:t>
                            </w:r>
                            <w:r w:rsidRPr="00526D27">
                              <w:t>ecent survey and liaison evidence do not suggest a material decline in business conditions</w:t>
                            </w:r>
                          </w:p>
                          <w:p w14:paraId="7D47BF9F" w14:textId="77777777" w:rsidR="00526D27" w:rsidRDefault="00526D27" w:rsidP="00526D27">
                            <w:pPr>
                              <w:pStyle w:val="List1"/>
                            </w:pPr>
                            <w:r>
                              <w:t>E</w:t>
                            </w:r>
                            <w:r w:rsidRPr="00526D27">
                              <w:t xml:space="preserve">arly consumer spending data – while volatile – do not suggest a material slowing in real household consumption. other types of spending. </w:t>
                            </w:r>
                          </w:p>
                          <w:p w14:paraId="298A3A4E" w14:textId="3655310E" w:rsidR="00526D27" w:rsidRPr="00526D27" w:rsidRDefault="00526D27" w:rsidP="00526D27">
                            <w:pPr>
                              <w:pStyle w:val="List1"/>
                            </w:pPr>
                            <w:r w:rsidRPr="00526D27">
                              <w:t>The additional spending on fuel since the start of the conflict amounts to less than 1 per cent of total household income over that period, though for some households it will be a higher share.</w:t>
                            </w:r>
                          </w:p>
                          <w:p w14:paraId="4D16E8F6" w14:textId="7210FD76" w:rsidR="00526D27" w:rsidRDefault="00526D27" w:rsidP="00526D27">
                            <w:pPr>
                              <w:pStyle w:val="List1"/>
                              <w:numPr>
                                <w:ilvl w:val="0"/>
                                <w:numId w:val="0"/>
                              </w:num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5885" id="Text Box 7" o:spid="_x0000_s1030" type="#_x0000_t202" style="position:absolute;margin-left:367.85pt;margin-top:350.95pt;width:323.4pt;height:2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">
                <v:textbox>
                  <w:txbxContent>
                    <w:p w14:paraId="2E9EC11D" w14:textId="77777777" w:rsidR="00526D27" w:rsidRDefault="00526D27" w:rsidP="00526D27">
                      <w:pPr>
                        <w:pStyle w:val="List1"/>
                        <w:numPr>
                          <w:ilvl w:val="0"/>
                          <w:numId w:val="0"/>
                        </w:numPr>
                        <w:rPr>
                          <w:b/>
                          <w:bCs/>
                        </w:rPr>
                      </w:pPr>
                      <w:r w:rsidRPr="00526D27">
                        <w:rPr>
                          <w:b/>
                          <w:bCs/>
                        </w:rPr>
                        <w:t xml:space="preserve">There is little evidence so far that overall economic activity in Australia has been significantly affected by the conflict. </w:t>
                      </w:r>
                    </w:p>
                    <w:p w14:paraId="3FD54CD0" w14:textId="77777777" w:rsidR="00526D27" w:rsidRDefault="00526D27" w:rsidP="00526D27">
                      <w:pPr>
                        <w:pStyle w:val="List1"/>
                      </w:pPr>
                      <w:r w:rsidRPr="00526D27">
                        <w:t>The fuel price increases seen to date imply a limited impact on households’ real income. </w:t>
                      </w:r>
                    </w:p>
                    <w:p w14:paraId="2AEC9E88" w14:textId="77777777" w:rsidR="00526D27" w:rsidRDefault="00526D27" w:rsidP="00526D27">
                      <w:pPr>
                        <w:pStyle w:val="List1"/>
                      </w:pPr>
                      <w:r w:rsidRPr="00526D27">
                        <w:t xml:space="preserve">While consumer and business sentiment indicators have fallen sharply in Australia since the start of the conflict, these series are typically only weakly correlated with actual spending. </w:t>
                      </w:r>
                    </w:p>
                    <w:p w14:paraId="44530580" w14:textId="77777777" w:rsidR="00526D27" w:rsidRDefault="00526D27" w:rsidP="00526D27">
                      <w:pPr>
                        <w:pStyle w:val="List1"/>
                      </w:pPr>
                      <w:r>
                        <w:t>R</w:t>
                      </w:r>
                      <w:r w:rsidRPr="00526D27">
                        <w:t>ecent survey and liaison evidence do not suggest a material decline in business conditions</w:t>
                      </w:r>
                    </w:p>
                    <w:p w14:paraId="7D47BF9F" w14:textId="77777777" w:rsidR="00526D27" w:rsidRDefault="00526D27" w:rsidP="00526D27">
                      <w:pPr>
                        <w:pStyle w:val="List1"/>
                      </w:pPr>
                      <w:r>
                        <w:t>E</w:t>
                      </w:r>
                      <w:r w:rsidRPr="00526D27">
                        <w:t xml:space="preserve">arly consumer spending data – while volatile – do not suggest a material slowing in real household consumption. other types of spending. </w:t>
                      </w:r>
                    </w:p>
                    <w:p w14:paraId="298A3A4E" w14:textId="3655310E" w:rsidR="00526D27" w:rsidRPr="00526D27" w:rsidRDefault="00526D27" w:rsidP="00526D27">
                      <w:pPr>
                        <w:pStyle w:val="List1"/>
                      </w:pPr>
                      <w:r w:rsidRPr="00526D27">
                        <w:t>The additional spending on fuel since the start of the conflict amounts to less than 1 per cent of total household income over that period, though for some households it will be a higher share.</w:t>
                      </w:r>
                    </w:p>
                    <w:p w14:paraId="4D16E8F6" w14:textId="7210FD76" w:rsidR="00526D27" w:rsidRDefault="00526D27" w:rsidP="00526D27">
                      <w:pPr>
                        <w:pStyle w:val="List1"/>
                        <w:numPr>
                          <w:ilvl w:val="0"/>
                          <w:numId w:val="0"/>
                        </w:numPr>
                        <w:ind w:left="284" w:hanging="284"/>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225885" wp14:editId="7D01DA90">
                <wp:simplePos x="0" y="0"/>
                <wp:positionH relativeFrom="column">
                  <wp:posOffset>9498965</wp:posOffset>
                </wp:positionH>
                <wp:positionV relativeFrom="paragraph">
                  <wp:posOffset>4293870</wp:posOffset>
                </wp:positionV>
                <wp:extent cx="3936365" cy="2767965"/>
                <wp:effectExtent l="12065" t="6985" r="13970" b="6350"/>
                <wp:wrapNone/>
                <wp:docPr id="465898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2767965"/>
                        </a:xfrm>
                        <a:prstGeom prst="rect">
                          <a:avLst/>
                        </a:prstGeom>
                        <a:solidFill>
                          <a:srgbClr val="FFFFFF"/>
                        </a:solidFill>
                        <a:ln w="9525">
                          <a:solidFill>
                            <a:srgbClr val="000000"/>
                          </a:solidFill>
                          <a:miter lim="800000"/>
                          <a:headEnd/>
                          <a:tailEnd/>
                        </a:ln>
                      </wps:spPr>
                      <wps:txbx>
                        <w:txbxContent>
                          <w:p w14:paraId="795024E8" w14:textId="77777777" w:rsidR="00526D27" w:rsidRDefault="00104348" w:rsidP="00104348">
                            <w:pPr>
                              <w:rPr>
                                <w:b/>
                                <w:bCs/>
                              </w:rPr>
                            </w:pPr>
                            <w:r w:rsidRPr="00104348">
                              <w:rPr>
                                <w:b/>
                                <w:bCs/>
                              </w:rPr>
                              <w:t>While higher inflation is weighing on real incomes in many economies, the overall impact of the conflict on economic activity will vary by country. </w:t>
                            </w:r>
                          </w:p>
                          <w:p w14:paraId="34C532B4" w14:textId="77777777" w:rsidR="00526D27" w:rsidRDefault="00104348" w:rsidP="00526D27">
                            <w:pPr>
                              <w:pStyle w:val="List1"/>
                            </w:pPr>
                            <w:r w:rsidRPr="00104348">
                              <w:t xml:space="preserve">In the event of a prolonged conflict, many of Australia’s east Asian trading partners may be at risk of a relatively larger impact on growth because they are net energy importers with a relatively high share of energy-intensive manufacturing in total output. </w:t>
                            </w:r>
                          </w:p>
                          <w:p w14:paraId="3E054EE0" w14:textId="304DD3DB" w:rsidR="00104348" w:rsidRDefault="00104348" w:rsidP="00526D27">
                            <w:pPr>
                              <w:pStyle w:val="List1"/>
                            </w:pPr>
                            <w:r w:rsidRPr="00104348">
                              <w:t>China’s economy is likely to be relatively insulated in the near term, owing to its diversified energy mix, large strategic reserves of oil and petroleum products, and its use of regulatory instruments to limit retail fuel price increases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5885" id="Text Box 6" o:spid="_x0000_s1031" type="#_x0000_t202" style="position:absolute;margin-left:747.95pt;margin-top:338.1pt;width:309.95pt;height:2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">
                <v:textbox>
                  <w:txbxContent>
                    <w:p w14:paraId="795024E8" w14:textId="77777777" w:rsidR="00526D27" w:rsidRDefault="00104348" w:rsidP="00104348">
                      <w:pPr>
                        <w:rPr>
                          <w:b/>
                          <w:bCs/>
                        </w:rPr>
                      </w:pPr>
                      <w:r w:rsidRPr="00104348">
                        <w:rPr>
                          <w:b/>
                          <w:bCs/>
                        </w:rPr>
                        <w:t>While higher inflation is weighing on real incomes in many economies, the overall impact of the conflict on economic activity will vary by country. </w:t>
                      </w:r>
                    </w:p>
                    <w:p w14:paraId="34C532B4" w14:textId="77777777" w:rsidR="00526D27" w:rsidRDefault="00104348" w:rsidP="00526D27">
                      <w:pPr>
                        <w:pStyle w:val="List1"/>
                      </w:pPr>
                      <w:r w:rsidRPr="00104348">
                        <w:t xml:space="preserve">In the event of a prolonged conflict, many of Australia’s east Asian trading partners may be at risk of a relatively larger impact on growth because they are net energy importers with a relatively high share of energy-intensive manufacturing in total output. </w:t>
                      </w:r>
                    </w:p>
                    <w:p w14:paraId="3E054EE0" w14:textId="304DD3DB" w:rsidR="00104348" w:rsidRDefault="00104348" w:rsidP="00526D27">
                      <w:pPr>
                        <w:pStyle w:val="List1"/>
                      </w:pPr>
                      <w:r w:rsidRPr="00104348">
                        <w:t>China’s economy is likely to be relatively insulated in the near term, owing to its diversified energy mix, large strategic reserves of oil and petroleum products, and its use of regulatory instruments to limit retail fuel price increases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D225885" wp14:editId="54E0D43E">
                <wp:simplePos x="0" y="0"/>
                <wp:positionH relativeFrom="column">
                  <wp:posOffset>8890</wp:posOffset>
                </wp:positionH>
                <wp:positionV relativeFrom="paragraph">
                  <wp:posOffset>4412615</wp:posOffset>
                </wp:positionV>
                <wp:extent cx="3936365" cy="2767965"/>
                <wp:effectExtent l="8890" t="11430" r="7620" b="11430"/>
                <wp:wrapNone/>
                <wp:docPr id="494571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2767965"/>
                        </a:xfrm>
                        <a:prstGeom prst="rect">
                          <a:avLst/>
                        </a:prstGeom>
                        <a:solidFill>
                          <a:srgbClr val="FFFFFF"/>
                        </a:solidFill>
                        <a:ln w="9525">
                          <a:solidFill>
                            <a:srgbClr val="000000"/>
                          </a:solidFill>
                          <a:miter lim="800000"/>
                          <a:headEnd/>
                          <a:tailEnd/>
                        </a:ln>
                      </wps:spPr>
                      <wps:txbx>
                        <w:txbxContent>
                          <w:p w14:paraId="0B6F5388" w14:textId="77777777" w:rsidR="00104348" w:rsidRDefault="00104348" w:rsidP="00104348">
                            <w:pPr>
                              <w:rPr>
                                <w:b/>
                                <w:bCs/>
                              </w:rPr>
                            </w:pPr>
                            <w:r w:rsidRPr="00104348">
                              <w:rPr>
                                <w:b/>
                                <w:bCs/>
                              </w:rPr>
                              <w:t>Headline inflation in Australia and many other economies increased in March as the direct effects of higher fuel costs flowed through to consumer prices. </w:t>
                            </w:r>
                          </w:p>
                          <w:p w14:paraId="62E0810B" w14:textId="77777777" w:rsidR="00104348" w:rsidRDefault="00104348" w:rsidP="00104348">
                            <w:pPr>
                              <w:pStyle w:val="List1"/>
                            </w:pPr>
                            <w:r w:rsidRPr="00104348">
                              <w:t xml:space="preserve">In Australia, CPI inflation increased to 4.6 per cent in the month of March, with fuel prices contributing 0.8 percentage points. </w:t>
                            </w:r>
                          </w:p>
                          <w:p w14:paraId="668B700E" w14:textId="2BBF3EFF" w:rsidR="00104348" w:rsidRPr="00104348" w:rsidRDefault="00104348" w:rsidP="00104348">
                            <w:pPr>
                              <w:pStyle w:val="List1"/>
                            </w:pPr>
                            <w:r w:rsidRPr="00104348">
                              <w:t>Fuel cost increases typically pass through to other goods and services prices over time. Many consumer-facing firms in the RBA’s liaison program report that they have not yet passed through higher costs to their prices, although an increasing share now expect above-average price increases over the coming year.</w:t>
                            </w:r>
                          </w:p>
                          <w:p w14:paraId="53A5E85F" w14:textId="77777777" w:rsidR="00104348" w:rsidRDefault="00104348" w:rsidP="00104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5885" id="Text Box 5" o:spid="_x0000_s1032" type="#_x0000_t202" style="position:absolute;margin-left:.7pt;margin-top:347.45pt;width:309.95pt;height:2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">
                <v:textbox>
                  <w:txbxContent>
                    <w:p w14:paraId="0B6F5388" w14:textId="77777777" w:rsidR="00104348" w:rsidRDefault="00104348" w:rsidP="00104348">
                      <w:pPr>
                        <w:rPr>
                          <w:b/>
                          <w:bCs/>
                        </w:rPr>
                      </w:pPr>
                      <w:r w:rsidRPr="00104348">
                        <w:rPr>
                          <w:b/>
                          <w:bCs/>
                        </w:rPr>
                        <w:t>Headline inflation in Australia and many other economies increased in March as the direct effects of higher fuel costs flowed through to consumer prices. </w:t>
                      </w:r>
                    </w:p>
                    <w:p w14:paraId="62E0810B" w14:textId="77777777" w:rsidR="00104348" w:rsidRDefault="00104348" w:rsidP="00104348">
                      <w:pPr>
                        <w:pStyle w:val="List1"/>
                      </w:pPr>
                      <w:r w:rsidRPr="00104348">
                        <w:t xml:space="preserve">In Australia, CPI inflation increased to 4.6 per cent in the month of March, with fuel prices contributing 0.8 percentage points. </w:t>
                      </w:r>
                    </w:p>
                    <w:p w14:paraId="668B700E" w14:textId="2BBF3EFF" w:rsidR="00104348" w:rsidRPr="00104348" w:rsidRDefault="00104348" w:rsidP="00104348">
                      <w:pPr>
                        <w:pStyle w:val="List1"/>
                      </w:pPr>
                      <w:r w:rsidRPr="00104348">
                        <w:t>Fuel cost increases typically pass through to other goods and services prices over time. Many consumer-facing firms in the RBA’s liaison program report that they have not yet passed through higher costs to their prices, although an increasing share now expect above-average price increases over the coming year.</w:t>
                      </w:r>
                    </w:p>
                    <w:p w14:paraId="53A5E85F" w14:textId="77777777" w:rsidR="00104348" w:rsidRDefault="00104348" w:rsidP="00104348"/>
                  </w:txbxContent>
                </v:textbox>
              </v:shape>
            </w:pict>
          </mc:Fallback>
        </mc:AlternateContent>
      </w:r>
    </w:p>
    <w:sectPr w:rsidR="00104348" w:rsidSect="00104348">
      <w:foot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D8F7" w14:textId="77777777" w:rsidR="00C215EE" w:rsidRDefault="00C215EE" w:rsidP="00E719A0">
      <w:pPr>
        <w:spacing w:after="0" w:line="240" w:lineRule="auto"/>
      </w:pPr>
      <w:r>
        <w:separator/>
      </w:r>
    </w:p>
  </w:endnote>
  <w:endnote w:type="continuationSeparator" w:id="0">
    <w:p w14:paraId="5049DB28" w14:textId="77777777" w:rsidR="00C215EE" w:rsidRDefault="00C215EE" w:rsidP="00E7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B24A" w14:textId="615113B9" w:rsidR="00E719A0" w:rsidRPr="00E719A0" w:rsidRDefault="00E719A0">
    <w:pPr>
      <w:pStyle w:val="Footer"/>
      <w:rPr>
        <w:b/>
        <w:bCs/>
        <w:color w:val="C00000"/>
        <w:sz w:val="24"/>
        <w:szCs w:val="24"/>
      </w:rPr>
    </w:pPr>
    <w:r w:rsidRPr="00E719A0">
      <w:rPr>
        <w:b/>
        <w:bCs/>
        <w:color w:val="C00000"/>
        <w:sz w:val="24"/>
        <w:szCs w:val="24"/>
      </w:rPr>
      <w:t>Make annotations and use upward and downward arrows on this page. Use highlighting to group key factors or relationships in a particular colour. Identify a key for your colours.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6E50" w14:textId="77777777" w:rsidR="00C215EE" w:rsidRDefault="00C215EE" w:rsidP="00E719A0">
      <w:pPr>
        <w:spacing w:after="0" w:line="240" w:lineRule="auto"/>
      </w:pPr>
      <w:r>
        <w:separator/>
      </w:r>
    </w:p>
  </w:footnote>
  <w:footnote w:type="continuationSeparator" w:id="0">
    <w:p w14:paraId="6BC356A8" w14:textId="77777777" w:rsidR="00C215EE" w:rsidRDefault="00C215EE" w:rsidP="00E71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7C8"/>
    <w:multiLevelType w:val="hybridMultilevel"/>
    <w:tmpl w:val="C5783694"/>
    <w:lvl w:ilvl="0" w:tplc="52DC1CA4">
      <w:start w:val="1"/>
      <w:numFmt w:val="bullet"/>
      <w:pStyle w:val="Lis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8467C03"/>
    <w:multiLevelType w:val="multilevel"/>
    <w:tmpl w:val="8DF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742D4"/>
    <w:multiLevelType w:val="multilevel"/>
    <w:tmpl w:val="E3C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44BEE"/>
    <w:multiLevelType w:val="hybridMultilevel"/>
    <w:tmpl w:val="51C6A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474772"/>
    <w:multiLevelType w:val="multilevel"/>
    <w:tmpl w:val="6E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72D75"/>
    <w:multiLevelType w:val="multilevel"/>
    <w:tmpl w:val="531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766940">
    <w:abstractNumId w:val="0"/>
  </w:num>
  <w:num w:numId="2" w16cid:durableId="327951298">
    <w:abstractNumId w:val="5"/>
  </w:num>
  <w:num w:numId="3" w16cid:durableId="1012494295">
    <w:abstractNumId w:val="3"/>
  </w:num>
  <w:num w:numId="4" w16cid:durableId="318583486">
    <w:abstractNumId w:val="1"/>
  </w:num>
  <w:num w:numId="5" w16cid:durableId="800391192">
    <w:abstractNumId w:val="2"/>
  </w:num>
  <w:num w:numId="6" w16cid:durableId="181425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8"/>
    <w:rsid w:val="00104348"/>
    <w:rsid w:val="001F19F1"/>
    <w:rsid w:val="001F6EE5"/>
    <w:rsid w:val="0038429E"/>
    <w:rsid w:val="003C0AFF"/>
    <w:rsid w:val="003C7993"/>
    <w:rsid w:val="00511B25"/>
    <w:rsid w:val="00526D27"/>
    <w:rsid w:val="00536674"/>
    <w:rsid w:val="006648CD"/>
    <w:rsid w:val="00671A1C"/>
    <w:rsid w:val="0077549A"/>
    <w:rsid w:val="00887A2D"/>
    <w:rsid w:val="00916340"/>
    <w:rsid w:val="00C215EE"/>
    <w:rsid w:val="00C62830"/>
    <w:rsid w:val="00E719A0"/>
    <w:rsid w:val="00F03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0A7"/>
  <w15:chartTrackingRefBased/>
  <w15:docId w15:val="{7B290B50-F756-4F6A-9156-83A1818E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F1"/>
  </w:style>
  <w:style w:type="paragraph" w:styleId="Heading1">
    <w:name w:val="heading 1"/>
    <w:basedOn w:val="Normal"/>
    <w:next w:val="Normal"/>
    <w:link w:val="Heading1Char"/>
    <w:uiPriority w:val="9"/>
    <w:qFormat/>
    <w:rsid w:val="0010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0">
    <w:name w:val="List 1"/>
    <w:basedOn w:val="ListParagraph"/>
    <w:link w:val="List1Char"/>
    <w:qFormat/>
    <w:rsid w:val="00C62830"/>
  </w:style>
  <w:style w:type="character" w:customStyle="1" w:styleId="List1Char">
    <w:name w:val="List 1 Char"/>
    <w:basedOn w:val="DefaultParagraphFont"/>
    <w:link w:val="List10"/>
    <w:rsid w:val="00C62830"/>
  </w:style>
  <w:style w:type="paragraph" w:styleId="ListParagraph">
    <w:name w:val="List Paragraph"/>
    <w:basedOn w:val="Normal"/>
    <w:uiPriority w:val="34"/>
    <w:qFormat/>
    <w:rsid w:val="00C62830"/>
    <w:pPr>
      <w:ind w:left="720"/>
      <w:contextualSpacing/>
    </w:pPr>
  </w:style>
  <w:style w:type="paragraph" w:customStyle="1" w:styleId="List1">
    <w:name w:val="List_1"/>
    <w:basedOn w:val="ListParagraph"/>
    <w:link w:val="List1Char0"/>
    <w:qFormat/>
    <w:rsid w:val="003C0AFF"/>
    <w:pPr>
      <w:numPr>
        <w:numId w:val="1"/>
      </w:numPr>
      <w:ind w:left="284" w:hanging="284"/>
    </w:pPr>
  </w:style>
  <w:style w:type="character" w:customStyle="1" w:styleId="List1Char0">
    <w:name w:val="List_1 Char"/>
    <w:basedOn w:val="DefaultParagraphFont"/>
    <w:link w:val="List1"/>
    <w:rsid w:val="003C0AFF"/>
  </w:style>
  <w:style w:type="character" w:customStyle="1" w:styleId="Heading1Char">
    <w:name w:val="Heading 1 Char"/>
    <w:basedOn w:val="DefaultParagraphFont"/>
    <w:link w:val="Heading1"/>
    <w:uiPriority w:val="9"/>
    <w:rsid w:val="0010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48"/>
    <w:rPr>
      <w:rFonts w:eastAsiaTheme="majorEastAsia" w:cstheme="majorBidi"/>
      <w:color w:val="272727" w:themeColor="text1" w:themeTint="D8"/>
    </w:rPr>
  </w:style>
  <w:style w:type="paragraph" w:styleId="Title">
    <w:name w:val="Title"/>
    <w:basedOn w:val="Normal"/>
    <w:next w:val="Normal"/>
    <w:link w:val="TitleChar"/>
    <w:uiPriority w:val="10"/>
    <w:qFormat/>
    <w:rsid w:val="0010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48"/>
    <w:pPr>
      <w:spacing w:before="160"/>
      <w:jc w:val="center"/>
    </w:pPr>
    <w:rPr>
      <w:i/>
      <w:iCs/>
      <w:color w:val="404040" w:themeColor="text1" w:themeTint="BF"/>
    </w:rPr>
  </w:style>
  <w:style w:type="character" w:customStyle="1" w:styleId="QuoteChar">
    <w:name w:val="Quote Char"/>
    <w:basedOn w:val="DefaultParagraphFont"/>
    <w:link w:val="Quote"/>
    <w:uiPriority w:val="29"/>
    <w:rsid w:val="00104348"/>
    <w:rPr>
      <w:i/>
      <w:iCs/>
      <w:color w:val="404040" w:themeColor="text1" w:themeTint="BF"/>
    </w:rPr>
  </w:style>
  <w:style w:type="character" w:styleId="IntenseEmphasis">
    <w:name w:val="Intense Emphasis"/>
    <w:basedOn w:val="DefaultParagraphFont"/>
    <w:uiPriority w:val="21"/>
    <w:qFormat/>
    <w:rsid w:val="00104348"/>
    <w:rPr>
      <w:i/>
      <w:iCs/>
      <w:color w:val="0F4761" w:themeColor="accent1" w:themeShade="BF"/>
    </w:rPr>
  </w:style>
  <w:style w:type="paragraph" w:styleId="IntenseQuote">
    <w:name w:val="Intense Quote"/>
    <w:basedOn w:val="Normal"/>
    <w:next w:val="Normal"/>
    <w:link w:val="IntenseQuoteChar"/>
    <w:uiPriority w:val="30"/>
    <w:qFormat/>
    <w:rsid w:val="0010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48"/>
    <w:rPr>
      <w:i/>
      <w:iCs/>
      <w:color w:val="0F4761" w:themeColor="accent1" w:themeShade="BF"/>
    </w:rPr>
  </w:style>
  <w:style w:type="character" w:styleId="IntenseReference">
    <w:name w:val="Intense Reference"/>
    <w:basedOn w:val="DefaultParagraphFont"/>
    <w:uiPriority w:val="32"/>
    <w:qFormat/>
    <w:rsid w:val="00104348"/>
    <w:rPr>
      <w:b/>
      <w:bCs/>
      <w:smallCaps/>
      <w:color w:val="0F4761" w:themeColor="accent1" w:themeShade="BF"/>
      <w:spacing w:val="5"/>
    </w:rPr>
  </w:style>
  <w:style w:type="paragraph" w:styleId="Header">
    <w:name w:val="header"/>
    <w:basedOn w:val="Normal"/>
    <w:link w:val="HeaderChar"/>
    <w:uiPriority w:val="99"/>
    <w:unhideWhenUsed/>
    <w:rsid w:val="00E71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A0"/>
  </w:style>
  <w:style w:type="paragraph" w:styleId="Footer">
    <w:name w:val="footer"/>
    <w:basedOn w:val="Normal"/>
    <w:link w:val="FooterChar"/>
    <w:uiPriority w:val="99"/>
    <w:unhideWhenUsed/>
    <w:rsid w:val="00E71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Dowd</dc:creator>
  <cp:keywords/>
  <dc:description/>
  <cp:lastModifiedBy>Christine Dowd</cp:lastModifiedBy>
  <cp:revision>2</cp:revision>
  <dcterms:created xsi:type="dcterms:W3CDTF">2026-05-16T10:13:00Z</dcterms:created>
  <dcterms:modified xsi:type="dcterms:W3CDTF">2026-05-16T10:47:00Z</dcterms:modified>
</cp:coreProperties>
</file>